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BA35F" w14:textId="5D0BE79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24142C">
        <w:rPr>
          <w:rFonts w:ascii="Arial" w:eastAsia="SimSun" w:hAnsi="Arial" w:cs="Times New Roman"/>
          <w:b/>
          <w:sz w:val="24"/>
          <w:szCs w:val="20"/>
        </w:rPr>
        <w:t>bis-e</w:t>
      </w:r>
      <w:r w:rsidRPr="00EF698B">
        <w:rPr>
          <w:rFonts w:ascii="Arial" w:eastAsia="SimSun" w:hAnsi="Arial" w:cs="Times New Roman"/>
          <w:b/>
          <w:bCs/>
          <w:sz w:val="24"/>
          <w:szCs w:val="20"/>
        </w:rPr>
        <w:tab/>
      </w:r>
      <w:r w:rsidRPr="0032295B">
        <w:rPr>
          <w:rFonts w:ascii="Arial" w:eastAsia="SimSun" w:hAnsi="Arial" w:cs="Times New Roman"/>
          <w:b/>
          <w:bCs/>
          <w:sz w:val="24"/>
          <w:szCs w:val="20"/>
          <w:lang w:eastAsia="ja-JP"/>
        </w:rPr>
        <w:t>R4-</w:t>
      </w:r>
      <w:r w:rsidR="00AE2BA5" w:rsidRPr="0032295B">
        <w:rPr>
          <w:rFonts w:ascii="Arial" w:eastAsia="SimSun" w:hAnsi="Arial" w:cs="Times New Roman"/>
          <w:b/>
          <w:bCs/>
          <w:sz w:val="24"/>
          <w:szCs w:val="20"/>
          <w:lang w:eastAsia="zh-CN"/>
        </w:rPr>
        <w:t>2</w:t>
      </w:r>
      <w:r w:rsidR="0032295B" w:rsidRPr="0032295B">
        <w:rPr>
          <w:rFonts w:ascii="Arial" w:eastAsia="SimSun" w:hAnsi="Arial" w:cs="Times New Roman"/>
          <w:b/>
          <w:bCs/>
          <w:sz w:val="24"/>
          <w:szCs w:val="20"/>
          <w:lang w:eastAsia="zh-CN"/>
        </w:rPr>
        <w:t>30</w:t>
      </w:r>
      <w:r w:rsidR="00947094" w:rsidRPr="00947094">
        <w:rPr>
          <w:rFonts w:ascii="Arial" w:eastAsia="SimSun" w:hAnsi="Arial" w:cs="Times New Roman"/>
          <w:b/>
          <w:bCs/>
          <w:sz w:val="24"/>
          <w:szCs w:val="20"/>
          <w:lang w:eastAsia="zh-CN"/>
        </w:rPr>
        <w:t>4527</w:t>
      </w:r>
    </w:p>
    <w:p w14:paraId="68A73D04" w14:textId="38F52476" w:rsidR="00841BCD" w:rsidRPr="00EF698B" w:rsidRDefault="0024142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 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 xml:space="preserve"> 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2DCAF0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734CA7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F48D096" w14:textId="2561E20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01B56">
        <w:rPr>
          <w:rFonts w:ascii="Arial" w:eastAsia="Calibri" w:hAnsi="Arial" w:cs="Arial"/>
          <w:b/>
          <w:bCs/>
          <w:sz w:val="24"/>
        </w:rPr>
        <w:t>Discussion on m</w:t>
      </w:r>
      <w:r w:rsidR="001E14ED">
        <w:rPr>
          <w:rFonts w:ascii="Arial" w:eastAsia="Calibri" w:hAnsi="Arial" w:cs="Arial"/>
          <w:b/>
          <w:bCs/>
          <w:sz w:val="24"/>
        </w:rPr>
        <w:t xml:space="preserve">obile IAB </w:t>
      </w:r>
      <w:r w:rsidR="001F55B3">
        <w:rPr>
          <w:rFonts w:ascii="Arial" w:eastAsia="Calibri" w:hAnsi="Arial" w:cs="Arial"/>
          <w:b/>
          <w:bCs/>
          <w:sz w:val="24"/>
        </w:rPr>
        <w:t>co-existence</w:t>
      </w:r>
    </w:p>
    <w:p w14:paraId="0776E6A8" w14:textId="77DE132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22847" w:rsidRPr="00947094">
        <w:rPr>
          <w:rFonts w:ascii="Arial" w:eastAsia="MS Mincho" w:hAnsi="Arial" w:cs="Arial"/>
          <w:b/>
          <w:bCs/>
          <w:sz w:val="24"/>
          <w:szCs w:val="20"/>
        </w:rPr>
        <w:t>5</w:t>
      </w:r>
      <w:r w:rsidR="001E14ED" w:rsidRPr="00947094">
        <w:rPr>
          <w:rFonts w:ascii="Arial" w:eastAsia="MS Mincho" w:hAnsi="Arial" w:cs="Arial"/>
          <w:b/>
          <w:bCs/>
          <w:sz w:val="24"/>
          <w:szCs w:val="20"/>
        </w:rPr>
        <w:t>.3</w:t>
      </w:r>
      <w:r w:rsidR="00252635" w:rsidRPr="00947094">
        <w:rPr>
          <w:rFonts w:ascii="Arial" w:eastAsia="MS Mincho" w:hAnsi="Arial" w:cs="Arial"/>
          <w:b/>
          <w:bCs/>
          <w:sz w:val="24"/>
          <w:szCs w:val="20"/>
        </w:rPr>
        <w:t>4</w:t>
      </w:r>
      <w:r w:rsidR="001E14ED" w:rsidRPr="00947094">
        <w:rPr>
          <w:rFonts w:ascii="Arial" w:eastAsia="MS Mincho" w:hAnsi="Arial" w:cs="Arial"/>
          <w:b/>
          <w:bCs/>
          <w:sz w:val="24"/>
          <w:szCs w:val="20"/>
        </w:rPr>
        <w:t>.</w:t>
      </w:r>
      <w:r w:rsidR="001F55B3" w:rsidRPr="00947094">
        <w:rPr>
          <w:rFonts w:ascii="Arial" w:eastAsia="MS Mincho" w:hAnsi="Arial" w:cs="Arial"/>
          <w:b/>
          <w:bCs/>
          <w:sz w:val="24"/>
          <w:szCs w:val="20"/>
        </w:rPr>
        <w:t>2</w:t>
      </w:r>
      <w:r w:rsidR="00F52037" w:rsidRPr="00252635">
        <w:rPr>
          <w:rFonts w:ascii="Arial" w:eastAsia="MS Mincho" w:hAnsi="Arial" w:cs="Arial"/>
          <w:b/>
          <w:bCs/>
          <w:sz w:val="24"/>
          <w:szCs w:val="20"/>
        </w:rPr>
        <w:t xml:space="preserve"> Co</w:t>
      </w:r>
      <w:r w:rsidR="00F52037" w:rsidRPr="00F52037">
        <w:rPr>
          <w:rFonts w:ascii="Arial" w:eastAsia="MS Mincho" w:hAnsi="Arial" w:cs="Arial"/>
          <w:b/>
          <w:bCs/>
          <w:sz w:val="24"/>
          <w:szCs w:val="20"/>
        </w:rPr>
        <w:t>-existence study</w:t>
      </w:r>
      <w:r w:rsidR="00F9665D">
        <w:rPr>
          <w:rFonts w:ascii="Arial" w:eastAsia="MS Mincho" w:hAnsi="Arial" w:cs="Arial"/>
          <w:b/>
          <w:bCs/>
          <w:sz w:val="24"/>
          <w:szCs w:val="20"/>
        </w:rPr>
        <w:t xml:space="preserve"> </w:t>
      </w:r>
      <w:r w:rsidR="00F9665D" w:rsidRPr="00F9665D">
        <w:rPr>
          <w:rFonts w:ascii="Arial" w:eastAsia="MS Mincho" w:hAnsi="Arial" w:cs="Arial"/>
          <w:b/>
          <w:bCs/>
          <w:sz w:val="24"/>
          <w:szCs w:val="20"/>
        </w:rPr>
        <w:t>[</w:t>
      </w:r>
      <w:proofErr w:type="spellStart"/>
      <w:r w:rsidR="00F9665D" w:rsidRPr="00F9665D">
        <w:rPr>
          <w:rFonts w:ascii="Arial" w:eastAsia="MS Mincho" w:hAnsi="Arial" w:cs="Arial"/>
          <w:b/>
          <w:bCs/>
          <w:sz w:val="24"/>
          <w:szCs w:val="20"/>
        </w:rPr>
        <w:t>NR_mobile_IAB</w:t>
      </w:r>
      <w:proofErr w:type="spellEnd"/>
      <w:r w:rsidR="00F9665D" w:rsidRPr="00F9665D">
        <w:rPr>
          <w:rFonts w:ascii="Arial" w:eastAsia="MS Mincho" w:hAnsi="Arial" w:cs="Arial"/>
          <w:b/>
          <w:bCs/>
          <w:sz w:val="24"/>
          <w:szCs w:val="20"/>
        </w:rPr>
        <w:t>-Core]</w:t>
      </w:r>
    </w:p>
    <w:p w14:paraId="777B7E8A" w14:textId="2C258C60"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601B56">
        <w:rPr>
          <w:rFonts w:ascii="Arial" w:eastAsia="Calibri" w:hAnsi="Arial" w:cs="Arial"/>
          <w:b/>
          <w:bCs/>
          <w:sz w:val="24"/>
        </w:rPr>
        <w:t>Approval</w:t>
      </w:r>
    </w:p>
    <w:p w14:paraId="57B26739" w14:textId="77777777" w:rsidR="00E323E9" w:rsidRPr="00EF698B" w:rsidRDefault="00E323E9" w:rsidP="00841BCD">
      <w:pPr>
        <w:tabs>
          <w:tab w:val="left" w:pos="1985"/>
        </w:tabs>
        <w:rPr>
          <w:rFonts w:ascii="Arial" w:eastAsia="Calibri" w:hAnsi="Arial" w:cs="Arial"/>
          <w:b/>
          <w:bCs/>
          <w:sz w:val="24"/>
        </w:rPr>
      </w:pPr>
    </w:p>
    <w:p w14:paraId="722ECF8B"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143DDF3" w14:textId="5CC88CAF" w:rsidR="00E323E9" w:rsidRDefault="0024142C" w:rsidP="005C23A4">
      <w:r>
        <w:t>RAN4#106 discussed mobile IAB co-existence concluding with following agreements:</w:t>
      </w:r>
    </w:p>
    <w:p w14:paraId="6993EC60" w14:textId="77777777" w:rsidR="0024142C" w:rsidRDefault="0024142C" w:rsidP="00460749">
      <w:pPr>
        <w:spacing w:after="60"/>
        <w:ind w:left="360"/>
        <w:rPr>
          <w:lang w:val="sv-SE" w:eastAsia="ja-JP"/>
        </w:rPr>
      </w:pPr>
      <w:proofErr w:type="spellStart"/>
      <w:r>
        <w:rPr>
          <w:highlight w:val="green"/>
          <w:lang w:val="sv-SE" w:eastAsia="ja-JP"/>
        </w:rPr>
        <w:t>Agreement</w:t>
      </w:r>
      <w:proofErr w:type="spellEnd"/>
      <w:r>
        <w:rPr>
          <w:highlight w:val="green"/>
          <w:lang w:val="sv-SE" w:eastAsia="ja-JP"/>
        </w:rPr>
        <w:t>:</w:t>
      </w:r>
      <w:r>
        <w:rPr>
          <w:lang w:val="sv-SE" w:eastAsia="ja-JP"/>
        </w:rPr>
        <w:t xml:space="preserve"> </w:t>
      </w:r>
    </w:p>
    <w:p w14:paraId="6AE01CC1" w14:textId="77777777" w:rsidR="0024142C" w:rsidRPr="0024142C" w:rsidRDefault="0024142C" w:rsidP="00460749">
      <w:pPr>
        <w:pStyle w:val="ListParagraph"/>
        <w:numPr>
          <w:ilvl w:val="0"/>
          <w:numId w:val="31"/>
        </w:numPr>
        <w:spacing w:after="0" w:line="256" w:lineRule="auto"/>
        <w:ind w:left="1080"/>
        <w:contextualSpacing w:val="0"/>
        <w:rPr>
          <w:rFonts w:eastAsia="SimSun"/>
          <w:szCs w:val="20"/>
          <w:lang w:val="en-GB" w:eastAsia="zh-CN"/>
        </w:rPr>
      </w:pPr>
      <w:r>
        <w:rPr>
          <w:rFonts w:eastAsia="SimSun"/>
          <w:szCs w:val="20"/>
          <w:lang w:eastAsia="zh-CN"/>
        </w:rPr>
        <w:t xml:space="preserve">FFS the difference between Rel-18 </w:t>
      </w:r>
      <w:proofErr w:type="spellStart"/>
      <w:r>
        <w:rPr>
          <w:rFonts w:eastAsia="SimSun"/>
          <w:szCs w:val="20"/>
          <w:lang w:eastAsia="zh-CN"/>
        </w:rPr>
        <w:t>mIAB</w:t>
      </w:r>
      <w:proofErr w:type="spellEnd"/>
      <w:r>
        <w:rPr>
          <w:rFonts w:eastAsia="SimSun"/>
          <w:szCs w:val="20"/>
          <w:lang w:eastAsia="zh-CN"/>
        </w:rPr>
        <w:t xml:space="preserve"> and Rel-16 IAB coexistence study in terms of deployment, network layout and coexistence scenarios.</w:t>
      </w:r>
    </w:p>
    <w:p w14:paraId="73965D69" w14:textId="7D41A535" w:rsidR="0024142C" w:rsidRPr="0024142C" w:rsidRDefault="0024142C" w:rsidP="00460749">
      <w:pPr>
        <w:pStyle w:val="ListParagraph"/>
        <w:numPr>
          <w:ilvl w:val="0"/>
          <w:numId w:val="31"/>
        </w:numPr>
        <w:spacing w:after="120" w:line="257" w:lineRule="auto"/>
        <w:ind w:left="1074" w:hanging="357"/>
        <w:contextualSpacing w:val="0"/>
        <w:rPr>
          <w:rFonts w:eastAsia="SimSun"/>
          <w:szCs w:val="20"/>
          <w:lang w:eastAsia="zh-CN"/>
        </w:rPr>
      </w:pPr>
      <w:r>
        <w:rPr>
          <w:rFonts w:eastAsia="SimSun"/>
          <w:szCs w:val="20"/>
          <w:lang w:eastAsia="zh-CN"/>
        </w:rPr>
        <w:t xml:space="preserve">To list preliminary list of parameters (network layout, deployment, antenna parameters that might be different between Rel-18 </w:t>
      </w:r>
      <w:proofErr w:type="spellStart"/>
      <w:r>
        <w:rPr>
          <w:rFonts w:eastAsia="SimSun"/>
          <w:szCs w:val="20"/>
          <w:lang w:eastAsia="zh-CN"/>
        </w:rPr>
        <w:t>mIAB</w:t>
      </w:r>
      <w:proofErr w:type="spellEnd"/>
      <w:r>
        <w:rPr>
          <w:rFonts w:eastAsia="SimSun"/>
          <w:szCs w:val="20"/>
          <w:lang w:eastAsia="zh-CN"/>
        </w:rPr>
        <w:t xml:space="preserve"> and previous Rel-16 IAB coexistence study.</w:t>
      </w:r>
    </w:p>
    <w:p w14:paraId="5DE5A7C4" w14:textId="77777777" w:rsidR="0024142C" w:rsidRDefault="0024142C" w:rsidP="00460749">
      <w:pPr>
        <w:spacing w:after="60"/>
        <w:ind w:left="360"/>
        <w:rPr>
          <w:highlight w:val="green"/>
          <w:lang w:val="sv-SE" w:eastAsia="ja-JP"/>
        </w:rPr>
      </w:pPr>
      <w:proofErr w:type="spellStart"/>
      <w:r>
        <w:rPr>
          <w:highlight w:val="green"/>
          <w:lang w:val="sv-SE" w:eastAsia="ja-JP"/>
        </w:rPr>
        <w:t>Agreement</w:t>
      </w:r>
      <w:proofErr w:type="spellEnd"/>
      <w:r>
        <w:rPr>
          <w:highlight w:val="green"/>
          <w:lang w:val="sv-SE" w:eastAsia="ja-JP"/>
        </w:rPr>
        <w:t>:</w:t>
      </w:r>
    </w:p>
    <w:p w14:paraId="1F47CB36" w14:textId="76AEA818" w:rsidR="0024142C" w:rsidRPr="0024142C" w:rsidRDefault="0024142C" w:rsidP="00460749">
      <w:pPr>
        <w:pStyle w:val="ListParagraph"/>
        <w:numPr>
          <w:ilvl w:val="0"/>
          <w:numId w:val="32"/>
        </w:numPr>
        <w:spacing w:after="120" w:line="257" w:lineRule="auto"/>
        <w:ind w:left="1074" w:hanging="357"/>
        <w:contextualSpacing w:val="0"/>
        <w:rPr>
          <w:rFonts w:eastAsia="SimSun"/>
          <w:szCs w:val="20"/>
          <w:lang w:val="en-GB" w:eastAsia="zh-CN"/>
        </w:rPr>
      </w:pPr>
      <w:r>
        <w:rPr>
          <w:rFonts w:eastAsia="SimSun"/>
          <w:szCs w:val="20"/>
          <w:lang w:eastAsia="zh-CN"/>
        </w:rPr>
        <w:t>At least from co-existence study aspect, RAN4 focus on adjacent channel within same band.</w:t>
      </w:r>
    </w:p>
    <w:p w14:paraId="0D22EAB6" w14:textId="77777777" w:rsidR="0024142C" w:rsidRDefault="0024142C" w:rsidP="00460749">
      <w:pPr>
        <w:spacing w:after="60"/>
        <w:ind w:left="360"/>
        <w:rPr>
          <w:highlight w:val="green"/>
          <w:lang w:eastAsia="ja-JP"/>
        </w:rPr>
      </w:pPr>
      <w:r>
        <w:rPr>
          <w:highlight w:val="green"/>
          <w:lang w:eastAsia="ja-JP"/>
        </w:rPr>
        <w:t>Agreement:</w:t>
      </w:r>
    </w:p>
    <w:p w14:paraId="1831C0B5" w14:textId="2B36B5AB" w:rsidR="0024142C" w:rsidRPr="0024142C" w:rsidRDefault="0024142C" w:rsidP="00460749">
      <w:pPr>
        <w:pStyle w:val="ListParagraph"/>
        <w:numPr>
          <w:ilvl w:val="0"/>
          <w:numId w:val="32"/>
        </w:numPr>
        <w:spacing w:after="120" w:line="257" w:lineRule="auto"/>
        <w:ind w:left="1074" w:hanging="357"/>
        <w:contextualSpacing w:val="0"/>
        <w:rPr>
          <w:rFonts w:eastAsia="SimSun"/>
          <w:szCs w:val="20"/>
          <w:lang w:eastAsia="zh-CN"/>
        </w:rPr>
      </w:pPr>
      <w:r>
        <w:rPr>
          <w:rFonts w:eastAsia="SimSun"/>
          <w:szCs w:val="20"/>
          <w:lang w:eastAsia="zh-CN"/>
        </w:rPr>
        <w:t xml:space="preserve">For R18 </w:t>
      </w:r>
      <w:proofErr w:type="spellStart"/>
      <w:r>
        <w:rPr>
          <w:rFonts w:eastAsia="SimSun"/>
          <w:szCs w:val="20"/>
          <w:lang w:eastAsia="zh-CN"/>
        </w:rPr>
        <w:t>mIAB</w:t>
      </w:r>
      <w:proofErr w:type="spellEnd"/>
      <w:r>
        <w:rPr>
          <w:rFonts w:eastAsia="SimSun"/>
          <w:szCs w:val="20"/>
          <w:lang w:eastAsia="zh-CN"/>
        </w:rPr>
        <w:t>, RAN4 only consider TDM for MT/DU operation.</w:t>
      </w:r>
    </w:p>
    <w:p w14:paraId="47BAA417" w14:textId="77777777" w:rsidR="0024142C" w:rsidRDefault="0024142C" w:rsidP="00460749">
      <w:pPr>
        <w:ind w:left="360"/>
        <w:rPr>
          <w:b/>
          <w:bCs/>
          <w:u w:val="single"/>
          <w:lang w:eastAsia="zh-CN"/>
        </w:rPr>
      </w:pPr>
      <w:r>
        <w:rPr>
          <w:b/>
          <w:bCs/>
          <w:u w:val="single"/>
          <w:lang w:eastAsia="zh-CN"/>
        </w:rPr>
        <w:t xml:space="preserve">Simulation assumptions: </w:t>
      </w:r>
    </w:p>
    <w:p w14:paraId="5E35D301" w14:textId="77777777" w:rsidR="0024142C" w:rsidRDefault="0024142C" w:rsidP="00460749">
      <w:pPr>
        <w:spacing w:after="60"/>
        <w:ind w:left="360"/>
        <w:rPr>
          <w:lang w:val="sv-SE" w:eastAsia="ja-JP"/>
        </w:rPr>
      </w:pPr>
      <w:proofErr w:type="spellStart"/>
      <w:r>
        <w:rPr>
          <w:highlight w:val="green"/>
          <w:lang w:val="sv-SE" w:eastAsia="ja-JP"/>
        </w:rPr>
        <w:t>Agreement</w:t>
      </w:r>
      <w:proofErr w:type="spellEnd"/>
      <w:r>
        <w:rPr>
          <w:highlight w:val="green"/>
          <w:lang w:val="sv-SE" w:eastAsia="ja-JP"/>
        </w:rPr>
        <w:t>:</w:t>
      </w:r>
      <w:r>
        <w:rPr>
          <w:lang w:val="sv-SE" w:eastAsia="ja-JP"/>
        </w:rPr>
        <w:t xml:space="preserve"> </w:t>
      </w:r>
    </w:p>
    <w:p w14:paraId="51ECC699" w14:textId="77777777" w:rsidR="0024142C" w:rsidRDefault="0024142C" w:rsidP="00460749">
      <w:pPr>
        <w:pStyle w:val="ListParagraph"/>
        <w:numPr>
          <w:ilvl w:val="0"/>
          <w:numId w:val="32"/>
        </w:numPr>
        <w:spacing w:after="0" w:line="256" w:lineRule="auto"/>
        <w:ind w:left="1080"/>
        <w:contextualSpacing w:val="0"/>
        <w:rPr>
          <w:b/>
          <w:bCs/>
          <w:u w:val="single"/>
          <w:lang w:val="fi-FI" w:eastAsia="zh-CN"/>
        </w:rPr>
      </w:pPr>
      <w:r>
        <w:rPr>
          <w:b/>
          <w:bCs/>
          <w:u w:val="single"/>
          <w:lang w:eastAsia="zh-CN"/>
        </w:rPr>
        <w:t xml:space="preserve">Network layout: </w:t>
      </w:r>
    </w:p>
    <w:p w14:paraId="038BB161" w14:textId="77777777" w:rsidR="0024142C" w:rsidRDefault="0024142C" w:rsidP="00460749">
      <w:pPr>
        <w:pStyle w:val="ListParagraph"/>
        <w:numPr>
          <w:ilvl w:val="1"/>
          <w:numId w:val="32"/>
        </w:numPr>
        <w:spacing w:after="0" w:line="240" w:lineRule="auto"/>
        <w:ind w:left="1794" w:hanging="357"/>
        <w:contextualSpacing w:val="0"/>
        <w:rPr>
          <w:lang w:eastAsia="zh-CN"/>
        </w:rPr>
      </w:pPr>
      <w:r>
        <w:rPr>
          <w:lang w:eastAsia="zh-CN"/>
        </w:rPr>
        <w:t>Heterogeneous scenario (layout 1).</w:t>
      </w:r>
    </w:p>
    <w:p w14:paraId="212088E4" w14:textId="77777777" w:rsidR="0024142C" w:rsidRDefault="0024142C" w:rsidP="00460749">
      <w:pPr>
        <w:pStyle w:val="ListParagraph"/>
        <w:numPr>
          <w:ilvl w:val="1"/>
          <w:numId w:val="32"/>
        </w:numPr>
        <w:spacing w:after="0" w:line="240" w:lineRule="auto"/>
        <w:ind w:left="1794" w:hanging="357"/>
        <w:contextualSpacing w:val="0"/>
        <w:rPr>
          <w:lang w:eastAsia="zh-CN"/>
        </w:rPr>
      </w:pPr>
      <w:r>
        <w:rPr>
          <w:lang w:eastAsia="zh-CN"/>
        </w:rPr>
        <w:t>homogeneous scenario (layout2).</w:t>
      </w:r>
    </w:p>
    <w:p w14:paraId="78306492" w14:textId="77777777" w:rsidR="0024142C" w:rsidRDefault="0024142C" w:rsidP="00460749">
      <w:pPr>
        <w:pStyle w:val="ListParagraph"/>
        <w:numPr>
          <w:ilvl w:val="1"/>
          <w:numId w:val="32"/>
        </w:numPr>
        <w:spacing w:after="0" w:line="240" w:lineRule="auto"/>
        <w:ind w:left="1800"/>
        <w:contextualSpacing w:val="0"/>
        <w:rPr>
          <w:lang w:eastAsia="zh-CN"/>
        </w:rPr>
      </w:pPr>
      <w:r>
        <w:rPr>
          <w:lang w:eastAsia="zh-CN"/>
        </w:rPr>
        <w:t>other layout options are not precluded.</w:t>
      </w:r>
    </w:p>
    <w:p w14:paraId="738F3BC2" w14:textId="77777777" w:rsidR="0024142C" w:rsidRDefault="0024142C" w:rsidP="00460749">
      <w:pPr>
        <w:pStyle w:val="ListParagraph"/>
        <w:numPr>
          <w:ilvl w:val="0"/>
          <w:numId w:val="33"/>
        </w:numPr>
        <w:spacing w:after="0" w:line="240" w:lineRule="auto"/>
        <w:ind w:left="1080"/>
        <w:contextualSpacing w:val="0"/>
        <w:rPr>
          <w:lang w:eastAsia="zh-CN"/>
        </w:rPr>
      </w:pPr>
      <w:r>
        <w:rPr>
          <w:lang w:eastAsia="zh-CN"/>
        </w:rPr>
        <w:t>FFS on the below listed simulation parameters:</w:t>
      </w:r>
    </w:p>
    <w:p w14:paraId="58F47218" w14:textId="77777777" w:rsidR="0024142C" w:rsidRDefault="0024142C" w:rsidP="00460749">
      <w:pPr>
        <w:pStyle w:val="ListParagraph"/>
        <w:numPr>
          <w:ilvl w:val="1"/>
          <w:numId w:val="34"/>
        </w:numPr>
        <w:spacing w:after="0" w:line="240" w:lineRule="auto"/>
        <w:ind w:left="1800"/>
        <w:contextualSpacing w:val="0"/>
        <w:rPr>
          <w:lang w:eastAsia="zh-CN"/>
        </w:rPr>
      </w:pPr>
      <w:r>
        <w:rPr>
          <w:lang w:eastAsia="zh-CN"/>
        </w:rPr>
        <w:t>Inter-BS distance.</w:t>
      </w:r>
    </w:p>
    <w:p w14:paraId="34C9DCDC" w14:textId="77777777" w:rsidR="0024142C" w:rsidRDefault="0024142C" w:rsidP="00460749">
      <w:pPr>
        <w:pStyle w:val="ListParagraph"/>
        <w:numPr>
          <w:ilvl w:val="1"/>
          <w:numId w:val="34"/>
        </w:numPr>
        <w:spacing w:after="0" w:line="240" w:lineRule="auto"/>
        <w:ind w:left="1800"/>
        <w:contextualSpacing w:val="0"/>
        <w:rPr>
          <w:lang w:eastAsia="zh-CN"/>
        </w:rPr>
      </w:pPr>
      <w:r>
        <w:rPr>
          <w:lang w:eastAsia="zh-CN"/>
        </w:rPr>
        <w:t>Minimum distance between moving IAB Node belonging to two cells.</w:t>
      </w:r>
    </w:p>
    <w:p w14:paraId="3F2AAB1B" w14:textId="77777777" w:rsidR="0024142C" w:rsidRDefault="0024142C" w:rsidP="00460749">
      <w:pPr>
        <w:pStyle w:val="ListParagraph"/>
        <w:numPr>
          <w:ilvl w:val="1"/>
          <w:numId w:val="34"/>
        </w:numPr>
        <w:spacing w:after="0" w:line="240" w:lineRule="auto"/>
        <w:ind w:left="1800"/>
        <w:contextualSpacing w:val="0"/>
        <w:rPr>
          <w:lang w:eastAsia="zh-CN"/>
        </w:rPr>
      </w:pPr>
      <w:r>
        <w:rPr>
          <w:lang w:eastAsia="zh-CN"/>
        </w:rPr>
        <w:t>Minimum distance between BS and UE.</w:t>
      </w:r>
    </w:p>
    <w:p w14:paraId="62F2F3B6" w14:textId="77777777" w:rsidR="0024142C" w:rsidRDefault="0024142C" w:rsidP="00460749">
      <w:pPr>
        <w:pStyle w:val="ListParagraph"/>
        <w:numPr>
          <w:ilvl w:val="1"/>
          <w:numId w:val="34"/>
        </w:numPr>
        <w:spacing w:after="0" w:line="240" w:lineRule="auto"/>
        <w:ind w:left="1800"/>
        <w:contextualSpacing w:val="0"/>
        <w:rPr>
          <w:rFonts w:eastAsia="SimSun"/>
          <w:szCs w:val="20"/>
          <w:lang w:eastAsia="zh-CN"/>
        </w:rPr>
      </w:pPr>
      <w:r>
        <w:rPr>
          <w:lang w:eastAsia="zh-CN"/>
        </w:rPr>
        <w:t xml:space="preserve">Proposal for additional system parameters is shown in Table 2. </w:t>
      </w:r>
    </w:p>
    <w:p w14:paraId="1D7C8335" w14:textId="77777777" w:rsidR="0024142C" w:rsidRDefault="0024142C" w:rsidP="00460749">
      <w:pPr>
        <w:pStyle w:val="ListParagraph"/>
        <w:numPr>
          <w:ilvl w:val="0"/>
          <w:numId w:val="35"/>
        </w:numPr>
        <w:spacing w:after="0" w:line="240" w:lineRule="auto"/>
        <w:ind w:left="1080"/>
        <w:contextualSpacing w:val="0"/>
        <w:rPr>
          <w:rFonts w:ascii="Calibri" w:eastAsia="Calibri" w:hAnsi="Calibri"/>
          <w:sz w:val="22"/>
          <w:lang w:eastAsia="zh-CN"/>
        </w:rPr>
      </w:pPr>
      <w:r>
        <w:rPr>
          <w:lang w:eastAsia="zh-CN"/>
        </w:rPr>
        <w:t>For the simulation parameters not listed in Annex below, Rel-16 IAB coexisting simulation can be utilized for preliminary studies.</w:t>
      </w:r>
    </w:p>
    <w:p w14:paraId="4CC245EB" w14:textId="77777777" w:rsidR="0024142C" w:rsidRDefault="0024142C" w:rsidP="00460749">
      <w:pPr>
        <w:pStyle w:val="ListParagraph"/>
        <w:numPr>
          <w:ilvl w:val="0"/>
          <w:numId w:val="36"/>
        </w:numPr>
        <w:spacing w:after="0" w:line="360" w:lineRule="auto"/>
        <w:ind w:left="1080"/>
        <w:contextualSpacing w:val="0"/>
        <w:rPr>
          <w:lang w:eastAsia="zh-CN"/>
        </w:rPr>
      </w:pPr>
      <w:r>
        <w:rPr>
          <w:lang w:eastAsia="zh-CN"/>
        </w:rPr>
        <w:t>Other parameters for coexisting are not precluded and new parameter values could be further discussed.</w:t>
      </w:r>
    </w:p>
    <w:p w14:paraId="6219E7C6" w14:textId="66CDE512" w:rsidR="0060543D" w:rsidRPr="00EF698B" w:rsidRDefault="00460749" w:rsidP="005C23A4">
      <w:r>
        <w:t>In this contribution we elaborate further the assumptions for mobile IAB co-existence focusing on identified open issues.</w:t>
      </w:r>
    </w:p>
    <w:p w14:paraId="16DD8A06" w14:textId="00E85C19" w:rsidR="003B659E" w:rsidRPr="00EF698B" w:rsidRDefault="003B659E" w:rsidP="00AE56B1">
      <w:pPr>
        <w:pStyle w:val="RAN4H1"/>
        <w:rPr>
          <w:lang w:val="en-US"/>
        </w:rPr>
      </w:pPr>
      <w:bookmarkStart w:id="4" w:name="_Toc116995842"/>
      <w:r w:rsidRPr="00EF698B">
        <w:rPr>
          <w:lang w:val="en-US"/>
        </w:rPr>
        <w:t>Discussion</w:t>
      </w:r>
      <w:bookmarkEnd w:id="4"/>
      <w:r w:rsidR="00460749">
        <w:rPr>
          <w:lang w:val="en-US"/>
        </w:rPr>
        <w:t xml:space="preserve"> on co-existence</w:t>
      </w:r>
    </w:p>
    <w:p w14:paraId="76AD6841" w14:textId="7215AC34" w:rsidR="00460749" w:rsidRDefault="00460749" w:rsidP="00460749">
      <w:pPr>
        <w:pStyle w:val="RAN4H2"/>
      </w:pPr>
      <w:r>
        <w:t>Carrier and frequency configurations</w:t>
      </w:r>
    </w:p>
    <w:p w14:paraId="75856E96" w14:textId="1545ACF4" w:rsidR="00460749" w:rsidRDefault="008D468E" w:rsidP="00460749">
      <w:r>
        <w:t xml:space="preserve">The options for carrier/frequency usage </w:t>
      </w:r>
      <w:r w:rsidR="00757C48">
        <w:t xml:space="preserve">can be </w:t>
      </w:r>
      <w:r>
        <w:t xml:space="preserve">summarized </w:t>
      </w:r>
      <w:r w:rsidR="00757C48">
        <w:t>as follows</w:t>
      </w:r>
      <w:r>
        <w:t>:</w:t>
      </w:r>
    </w:p>
    <w:tbl>
      <w:tblPr>
        <w:tblStyle w:val="TableGrid"/>
        <w:tblW w:w="8215" w:type="dxa"/>
        <w:tblInd w:w="1413" w:type="dxa"/>
        <w:tblLook w:val="04A0" w:firstRow="1" w:lastRow="0" w:firstColumn="1" w:lastColumn="0" w:noHBand="0" w:noVBand="1"/>
      </w:tblPr>
      <w:tblGrid>
        <w:gridCol w:w="994"/>
        <w:gridCol w:w="2407"/>
        <w:gridCol w:w="2407"/>
        <w:gridCol w:w="2407"/>
      </w:tblGrid>
      <w:tr w:rsidR="008D468E" w14:paraId="17DB3BF6" w14:textId="77777777">
        <w:tc>
          <w:tcPr>
            <w:tcW w:w="994" w:type="dxa"/>
          </w:tcPr>
          <w:p w14:paraId="3A236A60" w14:textId="77777777" w:rsidR="008D468E" w:rsidRPr="00E85E49" w:rsidRDefault="008D468E">
            <w:pPr>
              <w:jc w:val="center"/>
              <w:rPr>
                <w:b/>
                <w:bCs/>
              </w:rPr>
            </w:pPr>
            <w:r w:rsidRPr="00E85E49">
              <w:rPr>
                <w:b/>
                <w:bCs/>
                <w:szCs w:val="24"/>
                <w:lang w:eastAsia="zh-CN"/>
              </w:rPr>
              <w:t>Case</w:t>
            </w:r>
          </w:p>
        </w:tc>
        <w:tc>
          <w:tcPr>
            <w:tcW w:w="2407" w:type="dxa"/>
          </w:tcPr>
          <w:p w14:paraId="7BB4A6A9" w14:textId="77777777" w:rsidR="008D468E" w:rsidRPr="00E85E49" w:rsidRDefault="008D468E">
            <w:pPr>
              <w:jc w:val="center"/>
              <w:rPr>
                <w:b/>
                <w:bCs/>
              </w:rPr>
            </w:pPr>
            <w:r w:rsidRPr="00E85E49">
              <w:rPr>
                <w:b/>
                <w:bCs/>
                <w:szCs w:val="24"/>
                <w:lang w:eastAsia="zh-CN"/>
              </w:rPr>
              <w:t>MT Carrier</w:t>
            </w:r>
          </w:p>
        </w:tc>
        <w:tc>
          <w:tcPr>
            <w:tcW w:w="2407" w:type="dxa"/>
          </w:tcPr>
          <w:p w14:paraId="5C6A8DAA" w14:textId="77777777" w:rsidR="008D468E" w:rsidRPr="00E85E49" w:rsidRDefault="008D468E">
            <w:pPr>
              <w:jc w:val="center"/>
              <w:rPr>
                <w:b/>
                <w:bCs/>
              </w:rPr>
            </w:pPr>
            <w:r w:rsidRPr="00E85E49">
              <w:rPr>
                <w:b/>
                <w:bCs/>
                <w:szCs w:val="24"/>
                <w:lang w:eastAsia="zh-CN"/>
              </w:rPr>
              <w:t>DU Carrier</w:t>
            </w:r>
          </w:p>
        </w:tc>
        <w:tc>
          <w:tcPr>
            <w:tcW w:w="2407" w:type="dxa"/>
          </w:tcPr>
          <w:p w14:paraId="7EC99EBA" w14:textId="77777777" w:rsidR="008D468E" w:rsidRPr="00E85E49" w:rsidRDefault="008D468E">
            <w:pPr>
              <w:jc w:val="center"/>
              <w:rPr>
                <w:b/>
                <w:bCs/>
              </w:rPr>
            </w:pPr>
            <w:r w:rsidRPr="00E85E49">
              <w:rPr>
                <w:b/>
                <w:bCs/>
                <w:szCs w:val="24"/>
                <w:lang w:eastAsia="zh-CN"/>
              </w:rPr>
              <w:t>RAN carrier</w:t>
            </w:r>
          </w:p>
        </w:tc>
      </w:tr>
      <w:tr w:rsidR="008D468E" w14:paraId="361D3DE8" w14:textId="77777777">
        <w:tc>
          <w:tcPr>
            <w:tcW w:w="994" w:type="dxa"/>
          </w:tcPr>
          <w:p w14:paraId="5097FF8B" w14:textId="77777777" w:rsidR="008D468E" w:rsidRPr="00E85E49" w:rsidRDefault="008D468E">
            <w:pPr>
              <w:jc w:val="center"/>
            </w:pPr>
            <w:r w:rsidRPr="00E85E49">
              <w:rPr>
                <w:szCs w:val="24"/>
                <w:lang w:eastAsia="zh-CN"/>
              </w:rPr>
              <w:t>1a</w:t>
            </w:r>
          </w:p>
        </w:tc>
        <w:tc>
          <w:tcPr>
            <w:tcW w:w="7221" w:type="dxa"/>
            <w:gridSpan w:val="3"/>
          </w:tcPr>
          <w:p w14:paraId="723353A8" w14:textId="77777777" w:rsidR="008D468E" w:rsidRPr="00E85E49" w:rsidRDefault="008D468E">
            <w:pPr>
              <w:jc w:val="center"/>
            </w:pPr>
            <w:r>
              <w:rPr>
                <w:szCs w:val="24"/>
                <w:lang w:eastAsia="zh-CN"/>
              </w:rPr>
              <w:t>S</w:t>
            </w:r>
            <w:r w:rsidRPr="00E85E49">
              <w:rPr>
                <w:szCs w:val="24"/>
                <w:lang w:eastAsia="zh-CN"/>
              </w:rPr>
              <w:t>ame carrier(s)</w:t>
            </w:r>
          </w:p>
        </w:tc>
      </w:tr>
      <w:tr w:rsidR="008D468E" w14:paraId="2CBBD3ED" w14:textId="77777777">
        <w:tc>
          <w:tcPr>
            <w:tcW w:w="994" w:type="dxa"/>
          </w:tcPr>
          <w:p w14:paraId="1ADCBA16" w14:textId="77777777" w:rsidR="008D468E" w:rsidRPr="00E85E49" w:rsidRDefault="008D468E">
            <w:pPr>
              <w:jc w:val="center"/>
            </w:pPr>
            <w:r w:rsidRPr="00E85E49">
              <w:rPr>
                <w:szCs w:val="24"/>
                <w:lang w:eastAsia="zh-CN"/>
              </w:rPr>
              <w:t>1b</w:t>
            </w:r>
          </w:p>
        </w:tc>
        <w:tc>
          <w:tcPr>
            <w:tcW w:w="2407" w:type="dxa"/>
          </w:tcPr>
          <w:p w14:paraId="20DB9870" w14:textId="77777777" w:rsidR="008D468E" w:rsidRPr="00E85E49" w:rsidRDefault="008D468E">
            <w:r w:rsidRPr="00E85E49">
              <w:rPr>
                <w:szCs w:val="24"/>
                <w:lang w:eastAsia="zh-CN"/>
              </w:rPr>
              <w:t>MT-dedicated carriers</w:t>
            </w:r>
          </w:p>
        </w:tc>
        <w:tc>
          <w:tcPr>
            <w:tcW w:w="4814" w:type="dxa"/>
            <w:gridSpan w:val="2"/>
          </w:tcPr>
          <w:p w14:paraId="2373CE3E" w14:textId="77777777" w:rsidR="008D468E" w:rsidRPr="00E85E49" w:rsidRDefault="008D468E">
            <w:r>
              <w:rPr>
                <w:szCs w:val="24"/>
                <w:lang w:eastAsia="zh-CN"/>
              </w:rPr>
              <w:t>S</w:t>
            </w:r>
            <w:r w:rsidRPr="00E85E49">
              <w:rPr>
                <w:szCs w:val="24"/>
                <w:lang w:eastAsia="zh-CN"/>
              </w:rPr>
              <w:t>ame carrier(s)</w:t>
            </w:r>
          </w:p>
        </w:tc>
      </w:tr>
      <w:tr w:rsidR="007E6D55" w14:paraId="38E4E0EC" w14:textId="77777777">
        <w:tc>
          <w:tcPr>
            <w:tcW w:w="994" w:type="dxa"/>
          </w:tcPr>
          <w:p w14:paraId="66B17C47" w14:textId="795D39C0" w:rsidR="007E6D55" w:rsidRPr="00E85E49" w:rsidRDefault="007E6D55">
            <w:pPr>
              <w:jc w:val="center"/>
              <w:rPr>
                <w:szCs w:val="24"/>
                <w:lang w:eastAsia="zh-CN"/>
              </w:rPr>
            </w:pPr>
            <w:r>
              <w:rPr>
                <w:szCs w:val="24"/>
                <w:lang w:eastAsia="zh-CN"/>
              </w:rPr>
              <w:t>1c</w:t>
            </w:r>
          </w:p>
        </w:tc>
        <w:tc>
          <w:tcPr>
            <w:tcW w:w="2407" w:type="dxa"/>
          </w:tcPr>
          <w:p w14:paraId="3BAA05BF" w14:textId="10757E2D" w:rsidR="007E6D55" w:rsidRPr="00E85E49" w:rsidRDefault="007E6D55">
            <w:pPr>
              <w:rPr>
                <w:szCs w:val="24"/>
                <w:lang w:eastAsia="zh-CN"/>
              </w:rPr>
            </w:pPr>
            <w:r>
              <w:rPr>
                <w:szCs w:val="24"/>
                <w:lang w:eastAsia="zh-CN"/>
              </w:rPr>
              <w:t>Same as RAN carriers</w:t>
            </w:r>
          </w:p>
        </w:tc>
        <w:tc>
          <w:tcPr>
            <w:tcW w:w="2407" w:type="dxa"/>
          </w:tcPr>
          <w:p w14:paraId="41F99612" w14:textId="419F1F03" w:rsidR="007E6D55" w:rsidRPr="00E85E49" w:rsidRDefault="007E6D55">
            <w:pPr>
              <w:rPr>
                <w:szCs w:val="24"/>
                <w:lang w:eastAsia="zh-CN"/>
              </w:rPr>
            </w:pPr>
            <w:r>
              <w:rPr>
                <w:szCs w:val="24"/>
                <w:lang w:eastAsia="zh-CN"/>
              </w:rPr>
              <w:t>DU-dedicated carriers</w:t>
            </w:r>
          </w:p>
        </w:tc>
        <w:tc>
          <w:tcPr>
            <w:tcW w:w="2407" w:type="dxa"/>
          </w:tcPr>
          <w:p w14:paraId="1EFF080F" w14:textId="61442CE3" w:rsidR="007E6D55" w:rsidRDefault="007E6D55">
            <w:pPr>
              <w:rPr>
                <w:szCs w:val="24"/>
                <w:lang w:eastAsia="zh-CN"/>
              </w:rPr>
            </w:pPr>
            <w:r>
              <w:rPr>
                <w:szCs w:val="24"/>
                <w:lang w:eastAsia="zh-CN"/>
              </w:rPr>
              <w:t>RAN carriers</w:t>
            </w:r>
          </w:p>
        </w:tc>
      </w:tr>
      <w:tr w:rsidR="008D468E" w14:paraId="31578B54" w14:textId="77777777">
        <w:tc>
          <w:tcPr>
            <w:tcW w:w="994" w:type="dxa"/>
          </w:tcPr>
          <w:p w14:paraId="3CBDF5CD" w14:textId="0284653A" w:rsidR="008D468E" w:rsidRPr="00E85E49" w:rsidRDefault="008D468E">
            <w:pPr>
              <w:jc w:val="center"/>
            </w:pPr>
            <w:r w:rsidRPr="00E85E49">
              <w:rPr>
                <w:szCs w:val="24"/>
                <w:lang w:eastAsia="zh-CN"/>
              </w:rPr>
              <w:lastRenderedPageBreak/>
              <w:t>1</w:t>
            </w:r>
            <w:r w:rsidR="007E6D55">
              <w:rPr>
                <w:szCs w:val="24"/>
                <w:lang w:eastAsia="zh-CN"/>
              </w:rPr>
              <w:t>d</w:t>
            </w:r>
          </w:p>
        </w:tc>
        <w:tc>
          <w:tcPr>
            <w:tcW w:w="4814" w:type="dxa"/>
            <w:gridSpan w:val="2"/>
          </w:tcPr>
          <w:p w14:paraId="5E8B96FB" w14:textId="77777777" w:rsidR="008D468E" w:rsidRPr="00E85E49" w:rsidRDefault="008D468E">
            <w:r w:rsidRPr="00E85E49">
              <w:rPr>
                <w:szCs w:val="24"/>
                <w:lang w:eastAsia="zh-CN"/>
              </w:rPr>
              <w:t>IAB-dedicated carriers</w:t>
            </w:r>
          </w:p>
        </w:tc>
        <w:tc>
          <w:tcPr>
            <w:tcW w:w="2407" w:type="dxa"/>
          </w:tcPr>
          <w:p w14:paraId="2C2C0F66" w14:textId="77777777" w:rsidR="008D468E" w:rsidRPr="00E85E49" w:rsidRDefault="008D468E">
            <w:r>
              <w:rPr>
                <w:szCs w:val="24"/>
                <w:lang w:eastAsia="zh-CN"/>
              </w:rPr>
              <w:t>D</w:t>
            </w:r>
            <w:r w:rsidRPr="00E85E49">
              <w:rPr>
                <w:szCs w:val="24"/>
                <w:lang w:eastAsia="zh-CN"/>
              </w:rPr>
              <w:t>edicated carrier(s)</w:t>
            </w:r>
          </w:p>
        </w:tc>
      </w:tr>
      <w:tr w:rsidR="008D468E" w14:paraId="26AE32A1" w14:textId="77777777">
        <w:tc>
          <w:tcPr>
            <w:tcW w:w="994" w:type="dxa"/>
          </w:tcPr>
          <w:p w14:paraId="0688F61A" w14:textId="77777777" w:rsidR="008D468E" w:rsidRPr="00E85E49" w:rsidRDefault="008D468E">
            <w:pPr>
              <w:jc w:val="center"/>
            </w:pPr>
            <w:r w:rsidRPr="00E85E49">
              <w:rPr>
                <w:szCs w:val="24"/>
                <w:lang w:eastAsia="zh-CN"/>
              </w:rPr>
              <w:t>2a</w:t>
            </w:r>
          </w:p>
        </w:tc>
        <w:tc>
          <w:tcPr>
            <w:tcW w:w="4814" w:type="dxa"/>
            <w:gridSpan w:val="2"/>
            <w:vAlign w:val="center"/>
          </w:tcPr>
          <w:p w14:paraId="4F55FC17" w14:textId="77777777" w:rsidR="008D468E" w:rsidRPr="00E85E49" w:rsidRDefault="008D468E">
            <w:r w:rsidRPr="00E85E49">
              <w:rPr>
                <w:szCs w:val="24"/>
                <w:lang w:eastAsia="zh-CN"/>
              </w:rPr>
              <w:t>Band A</w:t>
            </w:r>
          </w:p>
        </w:tc>
        <w:tc>
          <w:tcPr>
            <w:tcW w:w="2407" w:type="dxa"/>
            <w:vAlign w:val="center"/>
          </w:tcPr>
          <w:p w14:paraId="30B4E47C" w14:textId="77777777" w:rsidR="008D468E" w:rsidRPr="00E85E49" w:rsidRDefault="008D468E">
            <w:r w:rsidRPr="00E85E49">
              <w:rPr>
                <w:szCs w:val="24"/>
                <w:lang w:eastAsia="zh-CN"/>
              </w:rPr>
              <w:t>Band B</w:t>
            </w:r>
          </w:p>
        </w:tc>
      </w:tr>
      <w:tr w:rsidR="008D468E" w14:paraId="490BAFF3" w14:textId="77777777">
        <w:tc>
          <w:tcPr>
            <w:tcW w:w="994" w:type="dxa"/>
          </w:tcPr>
          <w:p w14:paraId="03D90C34" w14:textId="77777777" w:rsidR="008D468E" w:rsidRPr="00E85E49" w:rsidRDefault="008D468E">
            <w:pPr>
              <w:jc w:val="center"/>
            </w:pPr>
            <w:r w:rsidRPr="00E85E49">
              <w:rPr>
                <w:szCs w:val="24"/>
                <w:lang w:eastAsia="zh-CN"/>
              </w:rPr>
              <w:t>2b</w:t>
            </w:r>
          </w:p>
        </w:tc>
        <w:tc>
          <w:tcPr>
            <w:tcW w:w="2407" w:type="dxa"/>
            <w:vAlign w:val="center"/>
          </w:tcPr>
          <w:p w14:paraId="38B5E5D5" w14:textId="77777777" w:rsidR="008D468E" w:rsidRPr="00E85E49" w:rsidRDefault="008D468E">
            <w:r w:rsidRPr="00E85E49">
              <w:rPr>
                <w:szCs w:val="24"/>
                <w:lang w:eastAsia="zh-CN"/>
              </w:rPr>
              <w:t>Band A</w:t>
            </w:r>
          </w:p>
        </w:tc>
        <w:tc>
          <w:tcPr>
            <w:tcW w:w="4814" w:type="dxa"/>
            <w:gridSpan w:val="2"/>
            <w:vAlign w:val="center"/>
          </w:tcPr>
          <w:p w14:paraId="353EE609" w14:textId="77777777" w:rsidR="008D468E" w:rsidRPr="00E85E49" w:rsidRDefault="008D468E">
            <w:r w:rsidRPr="00E85E49">
              <w:rPr>
                <w:szCs w:val="24"/>
                <w:lang w:eastAsia="zh-CN"/>
              </w:rPr>
              <w:t>Band B</w:t>
            </w:r>
          </w:p>
        </w:tc>
      </w:tr>
    </w:tbl>
    <w:p w14:paraId="7DC28B20" w14:textId="39589A00" w:rsidR="008D468E" w:rsidRDefault="008D468E" w:rsidP="00460749"/>
    <w:p w14:paraId="40326B85" w14:textId="39276AFE" w:rsidR="007E6D55" w:rsidRDefault="008D468E" w:rsidP="00460749">
      <w:r>
        <w:t xml:space="preserve">RAN4 agreed </w:t>
      </w:r>
      <w:r w:rsidR="007E6D55">
        <w:t xml:space="preserve">the frequency allocations </w:t>
      </w:r>
      <w:r>
        <w:t xml:space="preserve">to </w:t>
      </w:r>
      <w:r w:rsidR="007E6D55">
        <w:t>“</w:t>
      </w:r>
      <w:r>
        <w:t>focus on the adjacent channels in the same band</w:t>
      </w:r>
      <w:r w:rsidR="007E6D55">
        <w:t>”</w:t>
      </w:r>
      <w:r>
        <w:t xml:space="preserve">. This </w:t>
      </w:r>
      <w:r w:rsidR="00757C48">
        <w:t xml:space="preserve">can be </w:t>
      </w:r>
      <w:r>
        <w:t>understood that</w:t>
      </w:r>
      <w:r w:rsidR="00757C48">
        <w:t xml:space="preserve"> either:</w:t>
      </w:r>
    </w:p>
    <w:p w14:paraId="53D3EC7A" w14:textId="0D3B2897" w:rsidR="00757C48" w:rsidRDefault="00757C48" w:rsidP="00CA0728">
      <w:pPr>
        <w:pStyle w:val="ListParagraph"/>
        <w:numPr>
          <w:ilvl w:val="0"/>
          <w:numId w:val="38"/>
        </w:numPr>
      </w:pPr>
      <w:r>
        <w:t>IAB-MT has dedicated carrier(s) for BH while RAN and IAB access (DU) operate on same or different carriers (Cases 1b and 1</w:t>
      </w:r>
      <w:r w:rsidR="00235D85">
        <w:t>d)</w:t>
      </w:r>
    </w:p>
    <w:p w14:paraId="6D721E02" w14:textId="71047A47" w:rsidR="007E6D55" w:rsidRDefault="007E6D55" w:rsidP="00CA0728">
      <w:pPr>
        <w:pStyle w:val="ListParagraph"/>
        <w:numPr>
          <w:ilvl w:val="0"/>
          <w:numId w:val="38"/>
        </w:numPr>
      </w:pPr>
      <w:r>
        <w:t xml:space="preserve">There is no carrier assigned in the serving RAN for the </w:t>
      </w:r>
      <w:proofErr w:type="gramStart"/>
      <w:r>
        <w:t>BH</w:t>
      </w:r>
      <w:proofErr w:type="gramEnd"/>
      <w:r>
        <w:t xml:space="preserve"> but the BH is carried on the carrier(s) </w:t>
      </w:r>
      <w:r w:rsidR="00CA0728">
        <w:t>already used in the serving RAN</w:t>
      </w:r>
      <w:r w:rsidR="00757C48">
        <w:t xml:space="preserve"> (Case 1c)</w:t>
      </w:r>
    </w:p>
    <w:p w14:paraId="22A9D6EE" w14:textId="75F8CFA9" w:rsidR="00235D85" w:rsidRDefault="00235D85" w:rsidP="00460749">
      <w:r>
        <w:t>C</w:t>
      </w:r>
      <w:r w:rsidR="008D468E">
        <w:t xml:space="preserve">ase 1a </w:t>
      </w:r>
      <w:r>
        <w:t xml:space="preserve">is </w:t>
      </w:r>
      <w:r w:rsidR="008D468E">
        <w:t>down</w:t>
      </w:r>
      <w:r>
        <w:t xml:space="preserve"> </w:t>
      </w:r>
      <w:r w:rsidR="008D468E">
        <w:t>prioriti</w:t>
      </w:r>
      <w:r>
        <w:t>z</w:t>
      </w:r>
      <w:r w:rsidR="008D468E">
        <w:t xml:space="preserve">ed </w:t>
      </w:r>
      <w:r>
        <w:t>based on the agreement. RAN4 should confirm which one of the understandings, either a) or b), is valid for Rel.18 co-existence.</w:t>
      </w:r>
    </w:p>
    <w:p w14:paraId="620B1C0A" w14:textId="195E9B33" w:rsidR="00235D85" w:rsidRPr="00947094" w:rsidRDefault="74B7F34C" w:rsidP="00460749">
      <w:pPr>
        <w:rPr>
          <w:b/>
          <w:bCs/>
        </w:rPr>
      </w:pPr>
      <w:r w:rsidRPr="2D17E4EF">
        <w:rPr>
          <w:b/>
          <w:bCs/>
        </w:rPr>
        <w:t>Proposal 1.</w:t>
      </w:r>
      <w:r w:rsidRPr="00947094">
        <w:rPr>
          <w:b/>
          <w:bCs/>
        </w:rPr>
        <w:t xml:space="preserve"> RAN4 to select the carrier allocation alternative complying </w:t>
      </w:r>
      <w:r w:rsidR="54DF33E9" w:rsidRPr="2D17E4EF">
        <w:rPr>
          <w:b/>
          <w:bCs/>
        </w:rPr>
        <w:t xml:space="preserve">with </w:t>
      </w:r>
      <w:r w:rsidRPr="00947094">
        <w:rPr>
          <w:b/>
          <w:bCs/>
        </w:rPr>
        <w:t>the agreement to “focus on adjacent channels”.</w:t>
      </w:r>
    </w:p>
    <w:p w14:paraId="1718BECE" w14:textId="26C08389" w:rsidR="008D468E" w:rsidRDefault="008D468E" w:rsidP="00460749">
      <w:r>
        <w:t xml:space="preserve">Case 2a is an out-of-band scenario and is not relevant from co-existence point of view. Case 2b is a sub-set of in-band scenarios where only the IAB-DU TX is relevant. </w:t>
      </w:r>
      <w:r w:rsidR="00235D85">
        <w:t>However, this is pending the agreement on Prop.1</w:t>
      </w:r>
    </w:p>
    <w:p w14:paraId="1BACE576" w14:textId="6FB4E099" w:rsidR="00235D85" w:rsidRPr="00947094" w:rsidRDefault="00235D85" w:rsidP="00460749">
      <w:pPr>
        <w:rPr>
          <w:b/>
          <w:bCs/>
        </w:rPr>
      </w:pPr>
      <w:r w:rsidRPr="0016434F">
        <w:rPr>
          <w:b/>
          <w:bCs/>
        </w:rPr>
        <w:t>Proposal 2.</w:t>
      </w:r>
      <w:r w:rsidRPr="00947094">
        <w:rPr>
          <w:b/>
          <w:bCs/>
        </w:rPr>
        <w:t xml:space="preserve"> For co-existence, the multi-band cases are not relevant.</w:t>
      </w:r>
    </w:p>
    <w:p w14:paraId="6FE28F7E" w14:textId="1A27A82E" w:rsidR="008D468E" w:rsidRDefault="008D468E" w:rsidP="00460749"/>
    <w:p w14:paraId="051A9E84" w14:textId="7CB6BC60" w:rsidR="00A011A9" w:rsidRDefault="00A011A9" w:rsidP="00A011A9">
      <w:pPr>
        <w:pStyle w:val="RAN4H2"/>
      </w:pPr>
      <w:r>
        <w:t>Network parameters</w:t>
      </w:r>
    </w:p>
    <w:p w14:paraId="09659F6C" w14:textId="14E18164" w:rsidR="00A011A9" w:rsidRDefault="00A011A9" w:rsidP="00A011A9">
      <w:r>
        <w:t>Regarding antenna configurations, following options were discussed:</w:t>
      </w:r>
    </w:p>
    <w:p w14:paraId="64944B86" w14:textId="4C1E0923" w:rsidR="00A011A9" w:rsidRDefault="00A011A9" w:rsidP="00A011A9">
      <w:pPr>
        <w:pStyle w:val="ListParagraph"/>
        <w:numPr>
          <w:ilvl w:val="0"/>
          <w:numId w:val="40"/>
        </w:numPr>
        <w:autoSpaceDN w:val="0"/>
        <w:spacing w:line="256" w:lineRule="auto"/>
      </w:pPr>
      <w:r>
        <w:t>BH (IAB-MT) antenna outside the vehicle (e.g., rooftop) and access (IAB-DU) antenna inside the vehicle</w:t>
      </w:r>
    </w:p>
    <w:p w14:paraId="28224486" w14:textId="37516738" w:rsidR="00A011A9" w:rsidRDefault="00A011A9" w:rsidP="00A011A9">
      <w:pPr>
        <w:pStyle w:val="ListParagraph"/>
        <w:numPr>
          <w:ilvl w:val="0"/>
          <w:numId w:val="40"/>
        </w:numPr>
        <w:autoSpaceDN w:val="0"/>
        <w:spacing w:after="0" w:line="256" w:lineRule="auto"/>
      </w:pPr>
      <w:r>
        <w:t>BH and access antennas inside the vehicle</w:t>
      </w:r>
    </w:p>
    <w:p w14:paraId="45AB9149" w14:textId="48F1B193" w:rsidR="00A011A9" w:rsidRDefault="00A011A9" w:rsidP="00A011A9">
      <w:pPr>
        <w:pStyle w:val="ListParagraph"/>
        <w:numPr>
          <w:ilvl w:val="0"/>
          <w:numId w:val="40"/>
        </w:numPr>
        <w:autoSpaceDN w:val="0"/>
        <w:spacing w:after="120" w:line="257" w:lineRule="auto"/>
        <w:ind w:left="935" w:hanging="357"/>
      </w:pPr>
      <w:r>
        <w:t>BH and access antennas installed outside (e.g., rooftop) the vehicle</w:t>
      </w:r>
    </w:p>
    <w:p w14:paraId="2A2D8EAE" w14:textId="37B9BCEE" w:rsidR="00A011A9" w:rsidRDefault="290A2F4C" w:rsidP="00A011A9">
      <w:r>
        <w:t>The recommended WF was that 1) makes technical</w:t>
      </w:r>
      <w:r w:rsidR="350D81AA">
        <w:t>ly</w:t>
      </w:r>
      <w:r>
        <w:t xml:space="preserve"> sense for </w:t>
      </w:r>
      <w:proofErr w:type="spellStart"/>
      <w:r>
        <w:t>mIAB</w:t>
      </w:r>
      <w:proofErr w:type="spellEnd"/>
      <w:r>
        <w:t>. It is for further discuss whether 2) and 3) are additional configurations to be considered.</w:t>
      </w:r>
    </w:p>
    <w:p w14:paraId="4E85C220" w14:textId="48562AD8" w:rsidR="00374A6F" w:rsidRDefault="00374A6F" w:rsidP="00A011A9">
      <w:r>
        <w:t>Option 1) seems most optimum as it allows lowest possible TX power in the mobile IAB cell while having best possible BH connection quality minimizing potential interference to the surrounding network.</w:t>
      </w:r>
      <w:r w:rsidR="00B41742">
        <w:t xml:space="preserve"> </w:t>
      </w:r>
      <w:r>
        <w:t>Option 2) preserves the benefit of the low power mobile cell but suffers from worse BH quality likely increasing the interference towards the external cell(s)</w:t>
      </w:r>
      <w:r w:rsidR="00B41742">
        <w:t>. The advantage of 2) could be also an easy/easier installation inside the vehicle. Option 3), on the other hand, would require higher than necessary power to serve the UEs inside the vehicle.</w:t>
      </w:r>
    </w:p>
    <w:p w14:paraId="62F4DD22" w14:textId="27AA82D1" w:rsidR="00B41742" w:rsidRDefault="00B41742" w:rsidP="00A011A9">
      <w:r>
        <w:t>Out of these options, it seems that 3) may have the worst behavior and could therefore be excluded. From the remaining cases the focus could be on 1) but 2) can be considered as a secondary option.</w:t>
      </w:r>
    </w:p>
    <w:p w14:paraId="536962FE" w14:textId="079D54C8" w:rsidR="00B41742" w:rsidRPr="00947094" w:rsidRDefault="00B41742" w:rsidP="00A011A9">
      <w:pPr>
        <w:rPr>
          <w:b/>
          <w:bCs/>
        </w:rPr>
      </w:pPr>
      <w:r w:rsidRPr="00FE361C">
        <w:rPr>
          <w:b/>
          <w:bCs/>
        </w:rPr>
        <w:t>Proposal 3.</w:t>
      </w:r>
      <w:r w:rsidRPr="00947094">
        <w:rPr>
          <w:b/>
          <w:bCs/>
        </w:rPr>
        <w:t xml:space="preserve"> RAN4 to focus on antenna installation with IAB-MT antenna outside (</w:t>
      </w:r>
      <w:proofErr w:type="gramStart"/>
      <w:r w:rsidRPr="00947094">
        <w:rPr>
          <w:b/>
          <w:bCs/>
        </w:rPr>
        <w:t>e.g.</w:t>
      </w:r>
      <w:proofErr w:type="gramEnd"/>
      <w:r w:rsidRPr="00947094">
        <w:rPr>
          <w:b/>
          <w:bCs/>
        </w:rPr>
        <w:t xml:space="preserve"> rooftop) the vehicle and IAB-DU antenna inside the vehicle. Both IAB-MT and IAB-DU antennas inside the vehicle can be considered as the secondary option.</w:t>
      </w:r>
    </w:p>
    <w:p w14:paraId="5268C546" w14:textId="544F51BF" w:rsidR="0094187C" w:rsidRDefault="00B41742" w:rsidP="00460749">
      <w:r>
        <w:t xml:space="preserve">Based on the Prop.3, there can be an additional parameter defined for the </w:t>
      </w:r>
      <w:r w:rsidR="008135AF">
        <w:t>system parameters, namely isolation between the mobile cell (inside the vehicle) and outside cells. Appropriate value for the isolation is FFS.</w:t>
      </w:r>
    </w:p>
    <w:p w14:paraId="433BE341" w14:textId="384A65E2" w:rsidR="008135AF" w:rsidRPr="00947094" w:rsidRDefault="008135AF" w:rsidP="00460749">
      <w:pPr>
        <w:rPr>
          <w:b/>
          <w:bCs/>
        </w:rPr>
      </w:pPr>
      <w:r w:rsidRPr="00FE361C">
        <w:rPr>
          <w:b/>
          <w:bCs/>
        </w:rPr>
        <w:t>Proposal 4.</w:t>
      </w:r>
      <w:r w:rsidRPr="00947094">
        <w:rPr>
          <w:b/>
          <w:bCs/>
        </w:rPr>
        <w:t xml:space="preserve"> RAN4 to discuss a parameter for an additional isolation between mobile and fixed cells to be defined for the system parameters. Suitable value(s) of the parameters is FFS.</w:t>
      </w:r>
    </w:p>
    <w:p w14:paraId="2AFD2DE8" w14:textId="77777777" w:rsidR="008135AF" w:rsidRPr="0060543D" w:rsidRDefault="008135AF" w:rsidP="00460749"/>
    <w:p w14:paraId="122390D1" w14:textId="5ED90C54" w:rsidR="00460749" w:rsidRDefault="000F1F14" w:rsidP="00460749">
      <w:pPr>
        <w:pStyle w:val="RAN4H2"/>
      </w:pPr>
      <w:r>
        <w:t>Deployment scenarios</w:t>
      </w:r>
    </w:p>
    <w:p w14:paraId="5C00B6A3" w14:textId="7DEDFE12" w:rsidR="00460749" w:rsidRDefault="000F1F14" w:rsidP="0060543D">
      <w:r>
        <w:t>A basic mobile IAB scenario is illustrated in Fig.1</w:t>
      </w:r>
    </w:p>
    <w:p w14:paraId="5012F784" w14:textId="4C522BDC" w:rsidR="000F1F14" w:rsidRDefault="000F1F14" w:rsidP="00947094">
      <w:pPr>
        <w:ind w:left="360"/>
        <w:jc w:val="center"/>
      </w:pPr>
      <w:r>
        <w:rPr>
          <w:noProof/>
        </w:rPr>
        <w:lastRenderedPageBreak/>
        <w:drawing>
          <wp:inline distT="0" distB="0" distL="0" distR="0" wp14:anchorId="0DB00FEE" wp14:editId="26DA29E6">
            <wp:extent cx="3417006" cy="2592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6468" cy="2599248"/>
                    </a:xfrm>
                    <a:prstGeom prst="rect">
                      <a:avLst/>
                    </a:prstGeom>
                    <a:noFill/>
                  </pic:spPr>
                </pic:pic>
              </a:graphicData>
            </a:graphic>
          </wp:inline>
        </w:drawing>
      </w:r>
    </w:p>
    <w:p w14:paraId="076962AE" w14:textId="00A3F876" w:rsidR="00704E92" w:rsidRPr="00704E92" w:rsidRDefault="00704E92" w:rsidP="00947094">
      <w:pPr>
        <w:ind w:left="360" w:firstLine="360"/>
        <w:jc w:val="center"/>
        <w:rPr>
          <w:b/>
          <w:bCs/>
        </w:rPr>
      </w:pPr>
      <w:r w:rsidRPr="00704E92">
        <w:rPr>
          <w:b/>
          <w:bCs/>
        </w:rPr>
        <w:t>Figure 1. Mobile IAB deployment scenario</w:t>
      </w:r>
    </w:p>
    <w:p w14:paraId="5AEA9FEC" w14:textId="2C79290A" w:rsidR="000F1F14" w:rsidRDefault="000F1F14" w:rsidP="000F1F14">
      <w:r>
        <w:t xml:space="preserve">The vehicle having a mobile IAB-node installed is traversing the serving/victim network. UEs inside the vehicle are served by the mobile IAB-node </w:t>
      </w:r>
      <w:r w:rsidR="0044434E">
        <w:t>while outside UEs are served by the fixed RAN network. The distance between the mobile IAB-node and a base station of the serving/victim RAN is changing while the IAB-node is moving. Alternative deployment scenarios:</w:t>
      </w:r>
    </w:p>
    <w:p w14:paraId="3F283016" w14:textId="256177FC" w:rsidR="0044434E" w:rsidRDefault="0044434E" w:rsidP="0044434E">
      <w:pPr>
        <w:pStyle w:val="ListParagraph"/>
        <w:numPr>
          <w:ilvl w:val="0"/>
          <w:numId w:val="42"/>
        </w:numPr>
      </w:pPr>
      <w:r>
        <w:t>The serving (providing the BH connection) RAN is the same as the victim RAN</w:t>
      </w:r>
    </w:p>
    <w:p w14:paraId="2744C9A0" w14:textId="7B491317" w:rsidR="0044434E" w:rsidRDefault="0044434E" w:rsidP="0044434E">
      <w:pPr>
        <w:pStyle w:val="ListParagraph"/>
        <w:numPr>
          <w:ilvl w:val="0"/>
          <w:numId w:val="42"/>
        </w:numPr>
      </w:pPr>
      <w:r>
        <w:t>The serving RAN is different from the victim RAN</w:t>
      </w:r>
    </w:p>
    <w:p w14:paraId="3D6E5DE7" w14:textId="77258A89" w:rsidR="0044434E" w:rsidRDefault="00116AE9" w:rsidP="0044434E">
      <w:pPr>
        <w:pStyle w:val="ListParagraph"/>
        <w:numPr>
          <w:ilvl w:val="1"/>
          <w:numId w:val="42"/>
        </w:numPr>
      </w:pPr>
      <w:r>
        <w:t xml:space="preserve">B1: </w:t>
      </w:r>
      <w:r w:rsidR="0044434E">
        <w:t>Co-located RAN nodes for both RAN</w:t>
      </w:r>
    </w:p>
    <w:p w14:paraId="6A77144A" w14:textId="56504AE9" w:rsidR="0044434E" w:rsidRDefault="00116AE9" w:rsidP="0044434E">
      <w:pPr>
        <w:pStyle w:val="ListParagraph"/>
        <w:numPr>
          <w:ilvl w:val="1"/>
          <w:numId w:val="42"/>
        </w:numPr>
      </w:pPr>
      <w:r>
        <w:t xml:space="preserve">B2: </w:t>
      </w:r>
      <w:r w:rsidR="0044434E">
        <w:t>Non-co-located RAN nodes for the two RAN</w:t>
      </w:r>
    </w:p>
    <w:p w14:paraId="6FB812D1" w14:textId="40063A13" w:rsidR="0044434E" w:rsidRDefault="0044434E" w:rsidP="0044434E">
      <w:r>
        <w:t>In case A the BH connection is likely to the closest serving bases station that is also the RAN node (cell) that experiences highest interference.</w:t>
      </w:r>
    </w:p>
    <w:p w14:paraId="49EED334" w14:textId="7DD9A2F0" w:rsidR="0044434E" w:rsidRDefault="0044434E" w:rsidP="0044434E">
      <w:r>
        <w:t xml:space="preserve">In Case B, the distance to the serving base station (BH) is independent from the distance to the victim base station. </w:t>
      </w:r>
      <w:r w:rsidR="00A54C39">
        <w:t xml:space="preserve">The co-located case B1 corresponds to </w:t>
      </w:r>
      <w:r w:rsidR="00BD3651">
        <w:t xml:space="preserve">Case A </w:t>
      </w:r>
      <w:r w:rsidR="002018DB">
        <w:t>from the interference p</w:t>
      </w:r>
      <w:r w:rsidR="00F11987">
        <w:t xml:space="preserve">oint of view and therefore do not have to be </w:t>
      </w:r>
      <w:r w:rsidR="0005472D">
        <w:t xml:space="preserve">dealt separately. </w:t>
      </w:r>
      <w:r>
        <w:t xml:space="preserve">The worst case </w:t>
      </w:r>
      <w:r w:rsidR="00DF3071">
        <w:t xml:space="preserve">will be </w:t>
      </w:r>
      <w:r w:rsidR="00704E92">
        <w:t xml:space="preserve">the non-co-located case </w:t>
      </w:r>
      <w:r w:rsidR="00697F0C">
        <w:t xml:space="preserve">(B) </w:t>
      </w:r>
      <w:r w:rsidR="00704E92">
        <w:t xml:space="preserve">with </w:t>
      </w:r>
      <w:r>
        <w:t xml:space="preserve">long distance </w:t>
      </w:r>
      <w:proofErr w:type="spellStart"/>
      <w:r w:rsidR="00B736E0">
        <w:t>D</w:t>
      </w:r>
      <w:r w:rsidR="003E3EEF" w:rsidRPr="003E3EEF">
        <w:rPr>
          <w:vertAlign w:val="subscript"/>
        </w:rPr>
        <w:t>Serv</w:t>
      </w:r>
      <w:proofErr w:type="spellEnd"/>
      <w:r w:rsidR="003E3EEF">
        <w:t xml:space="preserve"> </w:t>
      </w:r>
      <w:r>
        <w:t xml:space="preserve">(highest TX power) </w:t>
      </w:r>
      <w:r w:rsidR="00C81A51">
        <w:t>to the serving node (</w:t>
      </w:r>
      <w:r>
        <w:t>BH link</w:t>
      </w:r>
      <w:r w:rsidR="00A74A8E">
        <w:t>)</w:t>
      </w:r>
      <w:r>
        <w:t xml:space="preserve"> and short distance </w:t>
      </w:r>
      <w:proofErr w:type="spellStart"/>
      <w:r w:rsidR="008B1BE7">
        <w:t>D</w:t>
      </w:r>
      <w:r w:rsidR="008B1BE7" w:rsidRPr="00336A60">
        <w:rPr>
          <w:vertAlign w:val="subscript"/>
        </w:rPr>
        <w:t>V</w:t>
      </w:r>
      <w:r w:rsidR="00F36BAA" w:rsidRPr="00336A60">
        <w:rPr>
          <w:vertAlign w:val="subscript"/>
        </w:rPr>
        <w:t>ict</w:t>
      </w:r>
      <w:proofErr w:type="spellEnd"/>
      <w:r w:rsidR="00336A60">
        <w:t xml:space="preserve"> </w:t>
      </w:r>
      <w:r>
        <w:t>to the victim base station</w:t>
      </w:r>
      <w:r w:rsidR="009C409C">
        <w:t>/cell</w:t>
      </w:r>
      <w:r>
        <w:t>.</w:t>
      </w:r>
      <w:r w:rsidR="00704E92">
        <w:t xml:space="preserve"> Appropriate values for the two distances </w:t>
      </w:r>
      <w:proofErr w:type="spellStart"/>
      <w:r w:rsidR="00336A60">
        <w:t>D</w:t>
      </w:r>
      <w:r w:rsidR="00336A60" w:rsidRPr="003E3EEF">
        <w:rPr>
          <w:vertAlign w:val="subscript"/>
        </w:rPr>
        <w:t>Serv</w:t>
      </w:r>
      <w:proofErr w:type="spellEnd"/>
      <w:r w:rsidR="00336A60">
        <w:t xml:space="preserve"> and </w:t>
      </w:r>
      <w:proofErr w:type="spellStart"/>
      <w:r w:rsidR="00336A60">
        <w:t>D</w:t>
      </w:r>
      <w:r w:rsidR="00336A60" w:rsidRPr="00336A60">
        <w:rPr>
          <w:vertAlign w:val="subscript"/>
        </w:rPr>
        <w:t>Vict</w:t>
      </w:r>
      <w:proofErr w:type="spellEnd"/>
      <w:r w:rsidR="00336A60">
        <w:t xml:space="preserve"> </w:t>
      </w:r>
      <w:r w:rsidR="00704E92">
        <w:t>are FFS.</w:t>
      </w:r>
    </w:p>
    <w:p w14:paraId="5A523293" w14:textId="60A3AD29" w:rsidR="00704E92" w:rsidRPr="00947094" w:rsidRDefault="00704E92" w:rsidP="0044434E">
      <w:pPr>
        <w:rPr>
          <w:b/>
          <w:bCs/>
        </w:rPr>
      </w:pPr>
      <w:r w:rsidRPr="009842C6">
        <w:rPr>
          <w:b/>
          <w:bCs/>
        </w:rPr>
        <w:t>Proposal 5.</w:t>
      </w:r>
      <w:r w:rsidRPr="00947094">
        <w:rPr>
          <w:b/>
          <w:bCs/>
        </w:rPr>
        <w:t xml:space="preserve"> RAN4 to determine suitable min/max distances (and related power differences) to the serving and victim networks.</w:t>
      </w:r>
    </w:p>
    <w:p w14:paraId="76DFC144" w14:textId="24F8CB69" w:rsidR="000F1F14" w:rsidRDefault="00D07A39" w:rsidP="0060543D">
      <w:r>
        <w:t xml:space="preserve">A simplification </w:t>
      </w:r>
      <w:r w:rsidR="00274F57">
        <w:t xml:space="preserve">for the </w:t>
      </w:r>
      <w:r w:rsidR="00F464BA">
        <w:t>scenarios A and B1 is shown in Fig.2.</w:t>
      </w:r>
    </w:p>
    <w:p w14:paraId="5C6A9EE8" w14:textId="1B3F50B9" w:rsidR="00F464BA" w:rsidRDefault="00F464BA" w:rsidP="00947094">
      <w:pPr>
        <w:ind w:firstLine="360"/>
        <w:jc w:val="center"/>
      </w:pPr>
      <w:r>
        <w:rPr>
          <w:noProof/>
        </w:rPr>
        <w:drawing>
          <wp:inline distT="0" distB="0" distL="0" distR="0" wp14:anchorId="2F80DE4A" wp14:editId="4A578969">
            <wp:extent cx="3352800" cy="1469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0" cy="1469390"/>
                    </a:xfrm>
                    <a:prstGeom prst="rect">
                      <a:avLst/>
                    </a:prstGeom>
                    <a:noFill/>
                  </pic:spPr>
                </pic:pic>
              </a:graphicData>
            </a:graphic>
          </wp:inline>
        </w:drawing>
      </w:r>
    </w:p>
    <w:p w14:paraId="580D879B" w14:textId="377C37B7" w:rsidR="006F3D44" w:rsidRPr="001034AC" w:rsidRDefault="006F3D44" w:rsidP="00947094">
      <w:pPr>
        <w:ind w:firstLine="720"/>
        <w:jc w:val="center"/>
        <w:rPr>
          <w:b/>
          <w:bCs/>
        </w:rPr>
      </w:pPr>
      <w:r w:rsidRPr="001034AC">
        <w:rPr>
          <w:b/>
          <w:bCs/>
        </w:rPr>
        <w:t xml:space="preserve">Figure 2. </w:t>
      </w:r>
      <w:r w:rsidR="00865542" w:rsidRPr="001034AC">
        <w:rPr>
          <w:b/>
          <w:bCs/>
        </w:rPr>
        <w:t xml:space="preserve">Mobile IAB scenario </w:t>
      </w:r>
      <w:r w:rsidR="00E31CCA" w:rsidRPr="001034AC">
        <w:rPr>
          <w:b/>
          <w:bCs/>
        </w:rPr>
        <w:t>for cases A and B1</w:t>
      </w:r>
    </w:p>
    <w:p w14:paraId="394FBB58" w14:textId="4C73621E" w:rsidR="00F464BA" w:rsidRDefault="00B10EC6" w:rsidP="0060543D">
      <w:r>
        <w:t xml:space="preserve">The serving </w:t>
      </w:r>
      <w:r w:rsidR="00930131">
        <w:t xml:space="preserve">(IAB-donor) </w:t>
      </w:r>
      <w:r>
        <w:t xml:space="preserve">and </w:t>
      </w:r>
      <w:r w:rsidR="00BF6574">
        <w:t>co-located victi</w:t>
      </w:r>
      <w:r w:rsidR="00930131">
        <w:t>m</w:t>
      </w:r>
      <w:r w:rsidR="00BF6574">
        <w:t xml:space="preserve"> </w:t>
      </w:r>
      <w:r w:rsidR="00605384">
        <w:t xml:space="preserve">nodes are </w:t>
      </w:r>
      <w:r w:rsidR="00BD051D">
        <w:t xml:space="preserve">in the distance </w:t>
      </w:r>
      <w:proofErr w:type="spellStart"/>
      <w:r w:rsidR="003878B1">
        <w:t>D</w:t>
      </w:r>
      <w:r w:rsidR="003878B1" w:rsidRPr="003E3EEF">
        <w:rPr>
          <w:vertAlign w:val="subscript"/>
        </w:rPr>
        <w:t>Serv</w:t>
      </w:r>
      <w:proofErr w:type="spellEnd"/>
      <w:r w:rsidR="003878B1">
        <w:t>/</w:t>
      </w:r>
      <w:proofErr w:type="spellStart"/>
      <w:r w:rsidR="003878B1">
        <w:t>D</w:t>
      </w:r>
      <w:r w:rsidR="003878B1" w:rsidRPr="00336A60">
        <w:rPr>
          <w:vertAlign w:val="subscript"/>
        </w:rPr>
        <w:t>Vict</w:t>
      </w:r>
      <w:proofErr w:type="spellEnd"/>
      <w:r w:rsidR="003878B1">
        <w:t xml:space="preserve"> </w:t>
      </w:r>
      <w:r w:rsidR="00427461">
        <w:t xml:space="preserve">shown with the blue arrow. </w:t>
      </w:r>
      <w:r w:rsidR="002B5451">
        <w:t>The I</w:t>
      </w:r>
      <w:r w:rsidR="007319A1">
        <w:t>AB-donor</w:t>
      </w:r>
      <w:r w:rsidR="00BE14E7">
        <w:t xml:space="preserve"> and the </w:t>
      </w:r>
      <w:r w:rsidR="0012283A">
        <w:t xml:space="preserve">victim gNB are serving UEs within their coverage areas and mobile IAB-node </w:t>
      </w:r>
      <w:r w:rsidR="00072A13">
        <w:t>(</w:t>
      </w:r>
      <w:proofErr w:type="spellStart"/>
      <w:r w:rsidR="00072A13">
        <w:t>mIAB</w:t>
      </w:r>
      <w:proofErr w:type="spellEnd"/>
      <w:r w:rsidR="00072A13">
        <w:t xml:space="preserve">) is serving </w:t>
      </w:r>
      <w:r w:rsidR="00D87F9F">
        <w:t>UEs inside the vehicle</w:t>
      </w:r>
      <w:r w:rsidR="00A65C00">
        <w:t xml:space="preserve">. </w:t>
      </w:r>
      <w:r w:rsidR="00D45484">
        <w:t xml:space="preserve">The other simplified </w:t>
      </w:r>
      <w:r w:rsidR="0005354F">
        <w:t xml:space="preserve">illustration for the Case B is </w:t>
      </w:r>
      <w:r w:rsidR="006F3D44">
        <w:t>in Fig.3.</w:t>
      </w:r>
    </w:p>
    <w:p w14:paraId="1939E36C" w14:textId="1913ED57" w:rsidR="00BB3F9C" w:rsidRDefault="2D0E9AD9" w:rsidP="00947094">
      <w:pPr>
        <w:ind w:firstLine="360"/>
        <w:jc w:val="center"/>
      </w:pPr>
      <w:r>
        <w:rPr>
          <w:noProof/>
        </w:rPr>
        <w:lastRenderedPageBreak/>
        <w:drawing>
          <wp:inline distT="0" distB="0" distL="0" distR="0" wp14:anchorId="3069F367" wp14:editId="1412CA94">
            <wp:extent cx="3426460" cy="125603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5">
                      <a:extLst>
                        <a:ext uri="{28A0092B-C50C-407E-A947-70E740481C1C}">
                          <a14:useLocalDpi xmlns:a14="http://schemas.microsoft.com/office/drawing/2010/main" val="0"/>
                        </a:ext>
                      </a:extLst>
                    </a:blip>
                    <a:stretch>
                      <a:fillRect/>
                    </a:stretch>
                  </pic:blipFill>
                  <pic:spPr>
                    <a:xfrm>
                      <a:off x="0" y="0"/>
                      <a:ext cx="3426460" cy="1256030"/>
                    </a:xfrm>
                    <a:prstGeom prst="rect">
                      <a:avLst/>
                    </a:prstGeom>
                  </pic:spPr>
                </pic:pic>
              </a:graphicData>
            </a:graphic>
          </wp:inline>
        </w:drawing>
      </w:r>
    </w:p>
    <w:p w14:paraId="30D4107E" w14:textId="1913ED57" w:rsidR="00F333F8" w:rsidRPr="00AC487D" w:rsidRDefault="00BD1552" w:rsidP="00947094">
      <w:pPr>
        <w:ind w:firstLine="720"/>
        <w:jc w:val="center"/>
        <w:rPr>
          <w:b/>
          <w:bCs/>
        </w:rPr>
      </w:pPr>
      <w:r w:rsidRPr="00AC487D">
        <w:rPr>
          <w:b/>
          <w:bCs/>
        </w:rPr>
        <w:t>Figure 3. Mobile IAB scenario for case B2</w:t>
      </w:r>
    </w:p>
    <w:p w14:paraId="0F7BD732" w14:textId="03E0BD75" w:rsidR="00F333F8" w:rsidRDefault="00AC487D" w:rsidP="00F333F8">
      <w:r>
        <w:t>The serving node is the IAB-</w:t>
      </w:r>
      <w:proofErr w:type="gramStart"/>
      <w:r>
        <w:t>donor</w:t>
      </w:r>
      <w:proofErr w:type="gramEnd"/>
      <w:r>
        <w:t xml:space="preserve"> and the victim node is </w:t>
      </w:r>
      <w:r w:rsidR="0095434C">
        <w:t>the gNB.</w:t>
      </w:r>
      <w:r w:rsidR="001E7A7B">
        <w:t xml:space="preserve"> The distance from the mobile IAB-node to th</w:t>
      </w:r>
      <w:r w:rsidR="005C729C">
        <w:t xml:space="preserve">ese two nodes vary and </w:t>
      </w:r>
      <w:r w:rsidR="001406D8">
        <w:t>a</w:t>
      </w:r>
      <w:r w:rsidR="005434F1">
        <w:t>re in general different.</w:t>
      </w:r>
      <w:r w:rsidR="003931CD">
        <w:t xml:space="preserve"> The inter</w:t>
      </w:r>
      <w:r w:rsidR="00E16237">
        <w:t>ference scenarios are summarized in Table 1.</w:t>
      </w:r>
    </w:p>
    <w:tbl>
      <w:tblPr>
        <w:tblW w:w="8637" w:type="dxa"/>
        <w:tblCellMar>
          <w:left w:w="0" w:type="dxa"/>
          <w:right w:w="0" w:type="dxa"/>
        </w:tblCellMar>
        <w:tblLook w:val="04A0" w:firstRow="1" w:lastRow="0" w:firstColumn="1" w:lastColumn="0" w:noHBand="0" w:noVBand="1"/>
      </w:tblPr>
      <w:tblGrid>
        <w:gridCol w:w="983"/>
        <w:gridCol w:w="3685"/>
        <w:gridCol w:w="3969"/>
      </w:tblGrid>
      <w:tr w:rsidR="005559C6" w:rsidRPr="005559C6" w14:paraId="3E52C7BB" w14:textId="77777777" w:rsidTr="00FE2A4D">
        <w:trPr>
          <w:trHeight w:val="56"/>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90C930B" w14:textId="77777777" w:rsidR="005559C6" w:rsidRPr="005559C6" w:rsidRDefault="005559C6" w:rsidP="005559C6">
            <w:pPr>
              <w:rPr>
                <w:lang w:val="fi-FI"/>
              </w:rPr>
            </w:pPr>
            <w:r w:rsidRPr="005559C6">
              <w:rPr>
                <w:b/>
                <w:bCs/>
              </w:rPr>
              <w:t>Scenario</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271E903" w14:textId="77777777" w:rsidR="005559C6" w:rsidRPr="005559C6" w:rsidRDefault="005559C6" w:rsidP="005559C6">
            <w:pPr>
              <w:rPr>
                <w:lang w:val="fi-FI"/>
              </w:rPr>
            </w:pPr>
            <w:r w:rsidRPr="005559C6">
              <w:rPr>
                <w:b/>
                <w:bCs/>
              </w:rPr>
              <w:t>Aggressor system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704CDA9" w14:textId="77777777" w:rsidR="005559C6" w:rsidRPr="005559C6" w:rsidRDefault="005559C6" w:rsidP="005559C6">
            <w:pPr>
              <w:rPr>
                <w:lang w:val="fi-FI"/>
              </w:rPr>
            </w:pPr>
            <w:r w:rsidRPr="005559C6">
              <w:rPr>
                <w:b/>
                <w:bCs/>
              </w:rPr>
              <w:t>Victim system</w:t>
            </w:r>
          </w:p>
        </w:tc>
      </w:tr>
      <w:tr w:rsidR="005559C6" w:rsidRPr="005559C6" w14:paraId="4F8C65DF" w14:textId="77777777" w:rsidTr="00FE2A4D">
        <w:trPr>
          <w:trHeight w:val="280"/>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8C51AAB" w14:textId="77777777" w:rsidR="005559C6" w:rsidRPr="005559C6" w:rsidRDefault="005559C6" w:rsidP="00A96A25">
            <w:pPr>
              <w:jc w:val="center"/>
              <w:rPr>
                <w:lang w:val="fi-FI"/>
              </w:rPr>
            </w:pPr>
            <w:r w:rsidRPr="005559C6">
              <w:rPr>
                <w:b/>
                <w:bCs/>
                <w:lang w:val="en-GB"/>
              </w:rPr>
              <w:t>1</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C9CBB69" w14:textId="77777777" w:rsidR="005559C6" w:rsidRPr="00947094" w:rsidRDefault="005559C6" w:rsidP="005559C6">
            <w:pPr>
              <w:rPr>
                <w:lang w:val="pl-PL"/>
              </w:rPr>
            </w:pPr>
            <w:r w:rsidRPr="00947094">
              <w:rPr>
                <w:lang w:val="pl-PL"/>
              </w:rPr>
              <w:t>UL: (IAB-MT) -&gt; (IAB-Donor)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73CE61D7" w14:textId="77777777" w:rsidR="005559C6" w:rsidRPr="005559C6" w:rsidRDefault="005559C6" w:rsidP="005559C6">
            <w:pPr>
              <w:rPr>
                <w:lang w:val="fi-FI"/>
              </w:rPr>
            </w:pPr>
            <w:r w:rsidRPr="005559C6">
              <w:rPr>
                <w:lang w:val="en-GB"/>
              </w:rPr>
              <w:t>UL: UE -&gt; gNB</w:t>
            </w:r>
          </w:p>
        </w:tc>
      </w:tr>
      <w:tr w:rsidR="005559C6" w:rsidRPr="005559C6" w14:paraId="7C71DF61" w14:textId="77777777" w:rsidTr="00FE2A4D">
        <w:trPr>
          <w:trHeight w:val="280"/>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582D0416" w14:textId="77777777" w:rsidR="005559C6" w:rsidRPr="005559C6" w:rsidRDefault="005559C6" w:rsidP="00A96A25">
            <w:pPr>
              <w:jc w:val="center"/>
              <w:rPr>
                <w:lang w:val="fi-FI"/>
              </w:rPr>
            </w:pPr>
            <w:r w:rsidRPr="005559C6">
              <w:rPr>
                <w:b/>
                <w:bCs/>
                <w:lang w:val="fi-FI"/>
              </w:rPr>
              <w:t>2</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5202A54B" w14:textId="77777777" w:rsidR="005559C6" w:rsidRPr="005559C6" w:rsidRDefault="005559C6" w:rsidP="005559C6">
            <w:pPr>
              <w:rPr>
                <w:lang w:val="fi-FI"/>
              </w:rPr>
            </w:pPr>
            <w:r w:rsidRPr="005559C6">
              <w:rPr>
                <w:lang w:val="en-GB"/>
              </w:rPr>
              <w:t>UL: UE -&gt;(IAB-DU)</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A8C1E43" w14:textId="77777777" w:rsidR="005559C6" w:rsidRPr="005559C6" w:rsidRDefault="005559C6" w:rsidP="005559C6">
            <w:pPr>
              <w:rPr>
                <w:lang w:val="fi-FI"/>
              </w:rPr>
            </w:pPr>
            <w:r w:rsidRPr="005559C6">
              <w:rPr>
                <w:lang w:val="en-GB"/>
              </w:rPr>
              <w:t>UL: UE -&gt; gNB</w:t>
            </w:r>
          </w:p>
        </w:tc>
      </w:tr>
      <w:tr w:rsidR="005559C6" w:rsidRPr="005559C6" w14:paraId="70675F91" w14:textId="77777777" w:rsidTr="00FE2A4D">
        <w:trPr>
          <w:trHeight w:val="280"/>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79393C9" w14:textId="77777777" w:rsidR="005559C6" w:rsidRPr="005559C6" w:rsidRDefault="005559C6" w:rsidP="00A96A25">
            <w:pPr>
              <w:jc w:val="center"/>
              <w:rPr>
                <w:lang w:val="fi-FI"/>
              </w:rPr>
            </w:pPr>
            <w:r w:rsidRPr="005559C6">
              <w:rPr>
                <w:b/>
                <w:bCs/>
                <w:lang w:val="fi-FI"/>
              </w:rPr>
              <w:t>3</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3995020" w14:textId="77777777" w:rsidR="005559C6" w:rsidRPr="005559C6" w:rsidRDefault="005559C6" w:rsidP="005559C6">
            <w:pPr>
              <w:rPr>
                <w:lang w:val="fi-FI"/>
              </w:rPr>
            </w:pPr>
            <w:r w:rsidRPr="005559C6">
              <w:rPr>
                <w:lang w:val="sv-FI"/>
              </w:rPr>
              <w:t>DL: (IAB-DU)-&gt;UE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1BA3A7C1" w14:textId="77777777" w:rsidR="005559C6" w:rsidRPr="005559C6" w:rsidRDefault="005559C6" w:rsidP="005559C6">
            <w:pPr>
              <w:rPr>
                <w:lang w:val="fi-FI"/>
              </w:rPr>
            </w:pPr>
            <w:r w:rsidRPr="005559C6">
              <w:rPr>
                <w:lang w:val="en-GB"/>
              </w:rPr>
              <w:t>DL: gNB-&gt;UE</w:t>
            </w:r>
          </w:p>
        </w:tc>
      </w:tr>
      <w:tr w:rsidR="005559C6" w:rsidRPr="005559C6" w14:paraId="56835813" w14:textId="77777777" w:rsidTr="00FE2A4D">
        <w:trPr>
          <w:trHeight w:val="280"/>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8CA3051" w14:textId="77777777" w:rsidR="005559C6" w:rsidRPr="005559C6" w:rsidRDefault="005559C6" w:rsidP="00A96A25">
            <w:pPr>
              <w:jc w:val="center"/>
              <w:rPr>
                <w:lang w:val="fi-FI"/>
              </w:rPr>
            </w:pPr>
            <w:r w:rsidRPr="005559C6">
              <w:rPr>
                <w:b/>
                <w:bCs/>
                <w:lang w:val="fi-FI"/>
              </w:rPr>
              <w:t>4</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FAC69F9" w14:textId="77777777" w:rsidR="005559C6" w:rsidRPr="005559C6" w:rsidRDefault="005559C6" w:rsidP="005559C6">
            <w:pPr>
              <w:rPr>
                <w:lang w:val="fi-FI"/>
              </w:rPr>
            </w:pPr>
            <w:r w:rsidRPr="005559C6">
              <w:rPr>
                <w:lang w:val="fi-FI"/>
              </w:rPr>
              <w:t xml:space="preserve">UL: UE-&gt;gNB </w:t>
            </w:r>
            <w:r w:rsidRPr="005559C6">
              <w:rPr>
                <w:vertAlign w:val="superscript"/>
                <w:lang w:val="fi-FI"/>
              </w:rPr>
              <w:t>*)</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46A2110" w14:textId="77777777" w:rsidR="005559C6" w:rsidRPr="005559C6" w:rsidRDefault="005559C6" w:rsidP="005559C6">
            <w:pPr>
              <w:rPr>
                <w:lang w:val="fi-FI"/>
              </w:rPr>
            </w:pPr>
            <w:r w:rsidRPr="005559C6">
              <w:rPr>
                <w:lang w:val="fi-FI"/>
              </w:rPr>
              <w:t>UL: UE-&gt;IAB-DU</w:t>
            </w:r>
          </w:p>
        </w:tc>
      </w:tr>
      <w:tr w:rsidR="005559C6" w:rsidRPr="005559C6" w14:paraId="1933ED18" w14:textId="77777777" w:rsidTr="00FE2A4D">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7D6B503" w14:textId="77777777" w:rsidR="005559C6" w:rsidRPr="005559C6" w:rsidRDefault="005559C6" w:rsidP="00A96A25">
            <w:pPr>
              <w:jc w:val="center"/>
              <w:rPr>
                <w:lang w:val="fi-FI"/>
              </w:rPr>
            </w:pPr>
            <w:r w:rsidRPr="005559C6">
              <w:rPr>
                <w:b/>
                <w:bCs/>
                <w:lang w:val="fi-FI"/>
              </w:rPr>
              <w:t>5</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52EADAFA" w14:textId="77777777" w:rsidR="005559C6" w:rsidRPr="005559C6" w:rsidRDefault="005559C6" w:rsidP="005559C6">
            <w:pPr>
              <w:rPr>
                <w:lang w:val="fi-FI"/>
              </w:rPr>
            </w:pPr>
            <w:r w:rsidRPr="005559C6">
              <w:rPr>
                <w:lang w:val="fi-FI"/>
              </w:rPr>
              <w:t>DL: gNB-&gt;UE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16DF8D14" w14:textId="77777777" w:rsidR="005559C6" w:rsidRPr="005559C6" w:rsidRDefault="005559C6" w:rsidP="005559C6">
            <w:pPr>
              <w:rPr>
                <w:lang w:val="fi-FI"/>
              </w:rPr>
            </w:pPr>
            <w:r w:rsidRPr="005559C6">
              <w:rPr>
                <w:lang w:val="fi-FI"/>
              </w:rPr>
              <w:t xml:space="preserve">DL: IAB-DU-&gt;UE </w:t>
            </w:r>
            <w:r w:rsidRPr="005559C6">
              <w:rPr>
                <w:vertAlign w:val="superscript"/>
                <w:lang w:val="fi-FI"/>
              </w:rPr>
              <w:t>**)</w:t>
            </w:r>
          </w:p>
        </w:tc>
      </w:tr>
      <w:tr w:rsidR="005559C6" w:rsidRPr="005559C6" w14:paraId="35A33B54" w14:textId="77777777" w:rsidTr="00FE2A4D">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781B675D" w14:textId="77777777" w:rsidR="005559C6" w:rsidRPr="005559C6" w:rsidRDefault="005559C6" w:rsidP="00A96A25">
            <w:pPr>
              <w:jc w:val="center"/>
              <w:rPr>
                <w:lang w:val="fi-FI"/>
              </w:rPr>
            </w:pPr>
            <w:r w:rsidRPr="005559C6">
              <w:rPr>
                <w:b/>
                <w:bCs/>
                <w:lang w:val="fi-FI"/>
              </w:rPr>
              <w:t>6</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E595D16" w14:textId="77777777" w:rsidR="005559C6" w:rsidRPr="005559C6" w:rsidRDefault="005559C6" w:rsidP="005559C6">
            <w:pPr>
              <w:rPr>
                <w:lang w:val="fi-FI"/>
              </w:rPr>
            </w:pPr>
            <w:r w:rsidRPr="005559C6">
              <w:rPr>
                <w:lang w:val="fi-FI"/>
              </w:rPr>
              <w:t>DL: gNB-&gt;UE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5554EA09" w14:textId="77777777" w:rsidR="005559C6" w:rsidRPr="005559C6" w:rsidRDefault="005559C6" w:rsidP="005559C6">
            <w:pPr>
              <w:rPr>
                <w:lang w:val="en-GB"/>
              </w:rPr>
            </w:pPr>
            <w:r w:rsidRPr="005559C6">
              <w:rPr>
                <w:lang w:val="en-GB"/>
              </w:rPr>
              <w:t xml:space="preserve">DL: IAB-Donor-&gt;IAB-MT </w:t>
            </w:r>
            <w:r w:rsidRPr="005559C6">
              <w:rPr>
                <w:vertAlign w:val="superscript"/>
                <w:lang w:val="en-GB"/>
              </w:rPr>
              <w:t>**)</w:t>
            </w:r>
          </w:p>
        </w:tc>
      </w:tr>
    </w:tbl>
    <w:p w14:paraId="6D68B1C8" w14:textId="6D51A13E" w:rsidR="00E16237" w:rsidRPr="00EB0619" w:rsidRDefault="00C068C2" w:rsidP="00EB0619">
      <w:pPr>
        <w:ind w:firstLine="360"/>
        <w:rPr>
          <w:b/>
          <w:bCs/>
          <w:lang w:val="en-GB"/>
        </w:rPr>
      </w:pPr>
      <w:r w:rsidRPr="00EB0619">
        <w:rPr>
          <w:b/>
          <w:bCs/>
          <w:lang w:val="en-GB"/>
        </w:rPr>
        <w:t>Table 1. Mobile IAB interference scenario</w:t>
      </w:r>
    </w:p>
    <w:p w14:paraId="52E75D9A" w14:textId="77777777" w:rsidR="0026147C" w:rsidRPr="0026147C" w:rsidRDefault="0026147C" w:rsidP="001152C7">
      <w:pPr>
        <w:spacing w:after="40"/>
        <w:ind w:left="720"/>
        <w:rPr>
          <w:sz w:val="18"/>
          <w:szCs w:val="20"/>
        </w:rPr>
      </w:pPr>
      <w:r w:rsidRPr="0026147C">
        <w:rPr>
          <w:sz w:val="18"/>
          <w:szCs w:val="20"/>
        </w:rPr>
        <w:t xml:space="preserve">*) UE connected to gNB is at the cell edge with highest UL TX power, close to </w:t>
      </w:r>
      <w:proofErr w:type="spellStart"/>
      <w:r w:rsidRPr="0026147C">
        <w:rPr>
          <w:sz w:val="18"/>
          <w:szCs w:val="20"/>
        </w:rPr>
        <w:t>mIAB</w:t>
      </w:r>
      <w:proofErr w:type="spellEnd"/>
      <w:r w:rsidRPr="0026147C">
        <w:rPr>
          <w:sz w:val="18"/>
          <w:szCs w:val="20"/>
        </w:rPr>
        <w:t xml:space="preserve"> cell</w:t>
      </w:r>
    </w:p>
    <w:p w14:paraId="21FEBEB0" w14:textId="10FECCE4" w:rsidR="00AC487D" w:rsidRPr="001152C7" w:rsidRDefault="0026147C" w:rsidP="0026147C">
      <w:pPr>
        <w:ind w:left="720"/>
        <w:rPr>
          <w:sz w:val="18"/>
          <w:szCs w:val="20"/>
        </w:rPr>
      </w:pPr>
      <w:r w:rsidRPr="001152C7">
        <w:rPr>
          <w:sz w:val="18"/>
          <w:szCs w:val="20"/>
        </w:rPr>
        <w:t xml:space="preserve">**) gNB close to </w:t>
      </w:r>
      <w:proofErr w:type="spellStart"/>
      <w:r w:rsidRPr="001152C7">
        <w:rPr>
          <w:sz w:val="18"/>
          <w:szCs w:val="20"/>
        </w:rPr>
        <w:t>mIAB</w:t>
      </w:r>
      <w:proofErr w:type="spellEnd"/>
      <w:r w:rsidRPr="001152C7">
        <w:rPr>
          <w:sz w:val="18"/>
          <w:szCs w:val="20"/>
        </w:rPr>
        <w:t xml:space="preserve"> cell</w:t>
      </w:r>
    </w:p>
    <w:p w14:paraId="1E77B7C4" w14:textId="245E27E2" w:rsidR="00EB0619" w:rsidRDefault="003104F0" w:rsidP="00F333F8">
      <w:r>
        <w:t xml:space="preserve">In scenarios 1-3 the </w:t>
      </w:r>
      <w:r w:rsidR="0088347F">
        <w:t xml:space="preserve">fixed network is the </w:t>
      </w:r>
      <w:r w:rsidR="007C078A">
        <w:t xml:space="preserve">victim and in scenario </w:t>
      </w:r>
      <w:r w:rsidR="00656F70">
        <w:t>4-6</w:t>
      </w:r>
      <w:r w:rsidR="00FA3613">
        <w:t xml:space="preserve"> </w:t>
      </w:r>
      <w:r w:rsidR="00D4753D">
        <w:t>mobile IAB cell is the victim</w:t>
      </w:r>
      <w:r w:rsidR="00F84DA3">
        <w:t>.</w:t>
      </w:r>
    </w:p>
    <w:p w14:paraId="4DF147E1" w14:textId="780E6A68" w:rsidR="009133F5" w:rsidRPr="00617A78" w:rsidRDefault="009C331C" w:rsidP="00F333F8">
      <w:r>
        <w:t xml:space="preserve">Regarding the </w:t>
      </w:r>
      <w:r w:rsidR="00692440">
        <w:t xml:space="preserve">requirements for co-existence the </w:t>
      </w:r>
      <w:r w:rsidR="00C22CD4">
        <w:t xml:space="preserve">meaningful points are </w:t>
      </w:r>
      <w:r w:rsidR="00D14FB4">
        <w:t xml:space="preserve">those where the </w:t>
      </w:r>
      <w:proofErr w:type="spellStart"/>
      <w:r w:rsidR="00D14FB4">
        <w:t>D</w:t>
      </w:r>
      <w:r w:rsidR="00D14FB4" w:rsidRPr="003E3EEF">
        <w:rPr>
          <w:vertAlign w:val="subscript"/>
        </w:rPr>
        <w:t>Serv</w:t>
      </w:r>
      <w:proofErr w:type="spellEnd"/>
      <w:r w:rsidR="00D14FB4">
        <w:t xml:space="preserve"> and </w:t>
      </w:r>
      <w:proofErr w:type="spellStart"/>
      <w:r w:rsidR="00D14FB4">
        <w:t>D</w:t>
      </w:r>
      <w:r w:rsidR="00D14FB4" w:rsidRPr="00336A60">
        <w:rPr>
          <w:vertAlign w:val="subscript"/>
        </w:rPr>
        <w:t>Vict</w:t>
      </w:r>
      <w:proofErr w:type="spellEnd"/>
      <w:r w:rsidR="00617A78">
        <w:t xml:space="preserve"> </w:t>
      </w:r>
      <w:r w:rsidR="00577343">
        <w:t>the large</w:t>
      </w:r>
      <w:r w:rsidR="00D138ED">
        <w:t>st</w:t>
      </w:r>
      <w:r w:rsidR="007A1FB3">
        <w:t xml:space="preserve"> and </w:t>
      </w:r>
      <w:r w:rsidR="0088783E">
        <w:t xml:space="preserve">shortest, respectively. </w:t>
      </w:r>
      <w:r w:rsidR="00F329B0">
        <w:t>The evaluation</w:t>
      </w:r>
      <w:r w:rsidR="001A5CAE">
        <w:t xml:space="preserve"> can </w:t>
      </w:r>
      <w:r w:rsidR="00A935BB">
        <w:t xml:space="preserve">therefore </w:t>
      </w:r>
      <w:r w:rsidR="001A5CAE">
        <w:t>focus on the</w:t>
      </w:r>
      <w:r w:rsidR="00A935BB">
        <w:t xml:space="preserve">se cases. The actual </w:t>
      </w:r>
      <w:r w:rsidR="00501588">
        <w:t xml:space="preserve">underling (fixed) network layout is </w:t>
      </w:r>
      <w:r w:rsidR="003E0465">
        <w:t xml:space="preserve">not </w:t>
      </w:r>
      <w:r w:rsidR="00DA44CE">
        <w:t xml:space="preserve">that relevant as the mobile IAB-node </w:t>
      </w:r>
      <w:r w:rsidR="0056249B">
        <w:t xml:space="preserve">location can be </w:t>
      </w:r>
      <w:r w:rsidR="00FC6E31">
        <w:t xml:space="preserve">basically </w:t>
      </w:r>
      <w:r w:rsidR="0056249B">
        <w:t xml:space="preserve">random in any </w:t>
      </w:r>
      <w:r w:rsidR="00FC6E31">
        <w:t>time instant.</w:t>
      </w:r>
    </w:p>
    <w:p w14:paraId="458278A9" w14:textId="4E6ADBBE" w:rsidR="00EB0619" w:rsidRPr="00947094" w:rsidRDefault="000C393D" w:rsidP="00F333F8">
      <w:pPr>
        <w:rPr>
          <w:b/>
          <w:bCs/>
        </w:rPr>
      </w:pPr>
      <w:r w:rsidRPr="003F3FA7">
        <w:rPr>
          <w:b/>
          <w:bCs/>
        </w:rPr>
        <w:t xml:space="preserve">Proposal </w:t>
      </w:r>
      <w:r w:rsidR="007F01B0" w:rsidRPr="003F3FA7">
        <w:rPr>
          <w:b/>
          <w:bCs/>
        </w:rPr>
        <w:t>6.</w:t>
      </w:r>
      <w:r w:rsidR="007F01B0" w:rsidRPr="00947094">
        <w:rPr>
          <w:b/>
          <w:bCs/>
        </w:rPr>
        <w:t xml:space="preserve"> RAN to discuss and agree on the </w:t>
      </w:r>
      <w:r w:rsidR="00845E2E" w:rsidRPr="00947094">
        <w:rPr>
          <w:b/>
          <w:bCs/>
        </w:rPr>
        <w:t xml:space="preserve">interference scenarios and </w:t>
      </w:r>
      <w:r w:rsidR="00A37951" w:rsidRPr="00947094">
        <w:rPr>
          <w:b/>
          <w:bCs/>
        </w:rPr>
        <w:t xml:space="preserve">whether simplified approaches can be used as the basis for </w:t>
      </w:r>
      <w:r w:rsidR="00CE1376" w:rsidRPr="00947094">
        <w:rPr>
          <w:b/>
          <w:bCs/>
        </w:rPr>
        <w:t>defining the co-existence requirements.</w:t>
      </w:r>
    </w:p>
    <w:p w14:paraId="0DF05D85" w14:textId="77777777" w:rsidR="00EB0619" w:rsidRPr="0060543D" w:rsidRDefault="00EB0619" w:rsidP="00F333F8"/>
    <w:p w14:paraId="0D89D06F" w14:textId="77777777" w:rsidR="00CD7492" w:rsidRPr="00EF698B" w:rsidRDefault="00CD7492" w:rsidP="00A37002">
      <w:pPr>
        <w:pStyle w:val="RAN4H1"/>
        <w:rPr>
          <w:lang w:val="en-US"/>
        </w:rPr>
      </w:pPr>
      <w:bookmarkStart w:id="5" w:name="_Toc116995848"/>
      <w:r w:rsidRPr="00EF698B">
        <w:rPr>
          <w:lang w:val="en-US"/>
        </w:rPr>
        <w:t>Conclusion</w:t>
      </w:r>
      <w:bookmarkEnd w:id="5"/>
    </w:p>
    <w:p w14:paraId="30306246" w14:textId="57958CE1" w:rsidR="00D5270B" w:rsidRDefault="003F3FA7" w:rsidP="00936159">
      <w:pPr>
        <w:rPr>
          <w:lang w:val="en-GB"/>
        </w:rPr>
      </w:pPr>
      <w:r w:rsidRPr="003F3FA7">
        <w:rPr>
          <w:lang w:val="en-GB"/>
        </w:rPr>
        <w:t>In this contribution we elaborate further the assumptions for mobile IAB co-existence focusing on identified open issues.</w:t>
      </w:r>
      <w:r>
        <w:rPr>
          <w:lang w:val="en-GB"/>
        </w:rPr>
        <w:t xml:space="preserve"> We have made following proposals:</w:t>
      </w:r>
    </w:p>
    <w:p w14:paraId="1522B659" w14:textId="39D871EB" w:rsidR="009842C6" w:rsidRPr="0010119B" w:rsidRDefault="009842C6" w:rsidP="009842C6">
      <w:pPr>
        <w:rPr>
          <w:b/>
          <w:bCs/>
        </w:rPr>
      </w:pPr>
      <w:r w:rsidRPr="2D17E4EF">
        <w:rPr>
          <w:b/>
          <w:bCs/>
        </w:rPr>
        <w:t xml:space="preserve">Proposal 1. RAN4 to select the carrier allocation alternative complying </w:t>
      </w:r>
      <w:r w:rsidR="051DCB1C" w:rsidRPr="2D17E4EF">
        <w:rPr>
          <w:b/>
          <w:bCs/>
        </w:rPr>
        <w:t xml:space="preserve">with </w:t>
      </w:r>
      <w:r w:rsidRPr="2D17E4EF">
        <w:rPr>
          <w:b/>
          <w:bCs/>
        </w:rPr>
        <w:t>the agreement to “focus on adjacent channels”.</w:t>
      </w:r>
    </w:p>
    <w:p w14:paraId="6FBA2D93" w14:textId="77777777" w:rsidR="009842C6" w:rsidRPr="0010119B" w:rsidRDefault="009842C6" w:rsidP="009842C6">
      <w:pPr>
        <w:rPr>
          <w:b/>
          <w:bCs/>
        </w:rPr>
      </w:pPr>
      <w:r w:rsidRPr="0016434F">
        <w:rPr>
          <w:b/>
          <w:bCs/>
        </w:rPr>
        <w:t>Proposal 2.</w:t>
      </w:r>
      <w:r w:rsidRPr="0010119B">
        <w:rPr>
          <w:b/>
          <w:bCs/>
        </w:rPr>
        <w:t xml:space="preserve"> For co-existence, the multi-band cases are not relevant.</w:t>
      </w:r>
    </w:p>
    <w:p w14:paraId="547357E9" w14:textId="77777777" w:rsidR="009842C6" w:rsidRPr="0010119B" w:rsidRDefault="009842C6" w:rsidP="009842C6">
      <w:pPr>
        <w:rPr>
          <w:b/>
          <w:bCs/>
        </w:rPr>
      </w:pPr>
      <w:r w:rsidRPr="00FE361C">
        <w:rPr>
          <w:b/>
          <w:bCs/>
        </w:rPr>
        <w:t>Proposal 3.</w:t>
      </w:r>
      <w:r w:rsidRPr="0010119B">
        <w:rPr>
          <w:b/>
          <w:bCs/>
        </w:rPr>
        <w:t xml:space="preserve"> RAN4 to focus on antenna installation with IAB-MT antenna outside (</w:t>
      </w:r>
      <w:proofErr w:type="gramStart"/>
      <w:r w:rsidRPr="0010119B">
        <w:rPr>
          <w:b/>
          <w:bCs/>
        </w:rPr>
        <w:t>e.g.</w:t>
      </w:r>
      <w:proofErr w:type="gramEnd"/>
      <w:r w:rsidRPr="0010119B">
        <w:rPr>
          <w:b/>
          <w:bCs/>
        </w:rPr>
        <w:t xml:space="preserve"> rooftop) the vehicle and IAB-DU antenna inside the vehicle. Both IAB-MT and IAB-DU antennas inside the vehicle can be considered as the secondary option.</w:t>
      </w:r>
    </w:p>
    <w:p w14:paraId="68007B0E" w14:textId="77777777" w:rsidR="009842C6" w:rsidRPr="0010119B" w:rsidRDefault="009842C6" w:rsidP="009842C6">
      <w:pPr>
        <w:rPr>
          <w:b/>
          <w:bCs/>
        </w:rPr>
      </w:pPr>
      <w:r w:rsidRPr="00FE361C">
        <w:rPr>
          <w:b/>
          <w:bCs/>
        </w:rPr>
        <w:t>Proposal 4.</w:t>
      </w:r>
      <w:r w:rsidRPr="0010119B">
        <w:rPr>
          <w:b/>
          <w:bCs/>
        </w:rPr>
        <w:t xml:space="preserve"> RAN4 to discuss a parameter for an additional isolation between mobile and fixed cells to be defined for the system parameters. Suitable value(s) of the parameters is FFS.</w:t>
      </w:r>
    </w:p>
    <w:p w14:paraId="757DBA20" w14:textId="77777777" w:rsidR="009842C6" w:rsidRPr="00947094" w:rsidRDefault="009842C6" w:rsidP="009842C6">
      <w:pPr>
        <w:rPr>
          <w:b/>
          <w:bCs/>
        </w:rPr>
      </w:pPr>
      <w:r w:rsidRPr="009842C6">
        <w:rPr>
          <w:b/>
          <w:bCs/>
        </w:rPr>
        <w:lastRenderedPageBreak/>
        <w:t>Proposal 5.</w:t>
      </w:r>
      <w:r w:rsidRPr="00947094">
        <w:rPr>
          <w:b/>
          <w:bCs/>
        </w:rPr>
        <w:t xml:space="preserve"> RAN4 to determine suitable min/max distances (and related power differences) to the serving and victim networks.</w:t>
      </w:r>
    </w:p>
    <w:p w14:paraId="735A48FF" w14:textId="77777777" w:rsidR="009842C6" w:rsidRPr="0010119B" w:rsidRDefault="009842C6" w:rsidP="009842C6">
      <w:pPr>
        <w:rPr>
          <w:b/>
          <w:bCs/>
        </w:rPr>
      </w:pPr>
      <w:r w:rsidRPr="003F3FA7">
        <w:rPr>
          <w:b/>
          <w:bCs/>
        </w:rPr>
        <w:t>Proposal 6.</w:t>
      </w:r>
      <w:r w:rsidRPr="0010119B">
        <w:rPr>
          <w:b/>
          <w:bCs/>
        </w:rPr>
        <w:t xml:space="preserve"> RAN to discuss and agree on the interference scenarios and whether simplified approaches can be used as the basis for defining the co-existence requirements.</w:t>
      </w:r>
    </w:p>
    <w:p w14:paraId="0981D258" w14:textId="77777777" w:rsidR="003F3FA7" w:rsidRPr="009842C6" w:rsidRDefault="003F3FA7" w:rsidP="00936159">
      <w:pPr>
        <w:rPr>
          <w:highlight w:val="yellow"/>
        </w:rPr>
      </w:pPr>
    </w:p>
    <w:p w14:paraId="22953D69" w14:textId="2DAB1567" w:rsidR="00A871C5" w:rsidRDefault="00A4355E" w:rsidP="00460749">
      <w:pPr>
        <w:pStyle w:val="TOC4"/>
        <w:tabs>
          <w:tab w:val="right" w:leader="dot" w:pos="9617"/>
        </w:tabs>
        <w:rPr>
          <w:rStyle w:val="Hyperlink"/>
          <w:noProof/>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p>
    <w:p w14:paraId="0358D6B7" w14:textId="77777777" w:rsidR="00460749" w:rsidRPr="00460749" w:rsidRDefault="00460749" w:rsidP="00460749"/>
    <w:p w14:paraId="505E5962" w14:textId="77777777" w:rsidR="003B659E" w:rsidRPr="0060543D" w:rsidRDefault="00A4355E" w:rsidP="0060543D">
      <w:pPr>
        <w:pStyle w:val="RAN4H1"/>
        <w:numPr>
          <w:ilvl w:val="0"/>
          <w:numId w:val="0"/>
        </w:numPr>
        <w:ind w:left="360" w:hanging="360"/>
      </w:pPr>
      <w:r>
        <w:rPr>
          <w:noProof/>
        </w:rPr>
        <w:fldChar w:fldCharType="end"/>
      </w:r>
      <w:bookmarkStart w:id="6" w:name="_Toc116995849"/>
      <w:r w:rsidR="003B659E" w:rsidRPr="00EF698B">
        <w:t>References</w:t>
      </w:r>
      <w:bookmarkEnd w:id="6"/>
    </w:p>
    <w:p w14:paraId="6F461D2C" w14:textId="1760DEDF" w:rsidR="00CB5FF7" w:rsidRDefault="00CB5FF7" w:rsidP="00CB5FF7">
      <w:pPr>
        <w:pStyle w:val="ListParagraph"/>
        <w:numPr>
          <w:ilvl w:val="0"/>
          <w:numId w:val="21"/>
        </w:numPr>
        <w:ind w:right="-22"/>
      </w:pPr>
      <w:bookmarkStart w:id="7" w:name="_Ref114500673"/>
      <w:bookmarkEnd w:id="7"/>
      <w:r w:rsidRPr="00B85140">
        <w:t xml:space="preserve">RP-222671, </w:t>
      </w:r>
      <w:r w:rsidRPr="00B85140">
        <w:rPr>
          <w:i/>
          <w:iCs/>
        </w:rPr>
        <w:t>Mobile IAB (Integrated Access and Backhaul) for NR</w:t>
      </w:r>
    </w:p>
    <w:p w14:paraId="7A52CB4D" w14:textId="3B3378F7" w:rsidR="00460749" w:rsidRPr="00B85140" w:rsidRDefault="00460749" w:rsidP="00CB5FF7">
      <w:pPr>
        <w:pStyle w:val="ListParagraph"/>
        <w:numPr>
          <w:ilvl w:val="0"/>
          <w:numId w:val="21"/>
        </w:numPr>
        <w:ind w:right="-22"/>
      </w:pPr>
      <w:r w:rsidRPr="00460749">
        <w:t>R4-2302910</w:t>
      </w:r>
      <w:r>
        <w:t xml:space="preserve">, </w:t>
      </w:r>
      <w:r w:rsidRPr="00460749">
        <w:rPr>
          <w:i/>
          <w:iCs/>
        </w:rPr>
        <w:t xml:space="preserve">WF for Rel-18 </w:t>
      </w:r>
      <w:proofErr w:type="spellStart"/>
      <w:r w:rsidRPr="00460749">
        <w:rPr>
          <w:i/>
          <w:iCs/>
        </w:rPr>
        <w:t>mIAB</w:t>
      </w:r>
      <w:proofErr w:type="spellEnd"/>
      <w:r w:rsidRPr="00460749">
        <w:rPr>
          <w:i/>
          <w:iCs/>
        </w:rPr>
        <w:t xml:space="preserve"> RF requirements impact and co-existence study</w:t>
      </w:r>
    </w:p>
    <w:sectPr w:rsidR="00460749" w:rsidRPr="00B8514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49752" w14:textId="77777777" w:rsidR="0092113B" w:rsidRDefault="0092113B" w:rsidP="00001C9B">
      <w:pPr>
        <w:spacing w:after="0" w:line="240" w:lineRule="auto"/>
      </w:pPr>
      <w:r>
        <w:separator/>
      </w:r>
    </w:p>
  </w:endnote>
  <w:endnote w:type="continuationSeparator" w:id="0">
    <w:p w14:paraId="48630378" w14:textId="77777777" w:rsidR="0092113B" w:rsidRDefault="0092113B" w:rsidP="00001C9B">
      <w:pPr>
        <w:spacing w:after="0" w:line="240" w:lineRule="auto"/>
      </w:pPr>
      <w:r>
        <w:continuationSeparator/>
      </w:r>
    </w:p>
  </w:endnote>
  <w:endnote w:type="continuationNotice" w:id="1">
    <w:p w14:paraId="36DA395D" w14:textId="77777777" w:rsidR="0092113B" w:rsidRDefault="00921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551B5" w14:textId="77777777" w:rsidR="0092113B" w:rsidRDefault="0092113B" w:rsidP="00001C9B">
      <w:pPr>
        <w:spacing w:after="0" w:line="240" w:lineRule="auto"/>
      </w:pPr>
      <w:r>
        <w:separator/>
      </w:r>
    </w:p>
  </w:footnote>
  <w:footnote w:type="continuationSeparator" w:id="0">
    <w:p w14:paraId="3D818CF8" w14:textId="77777777" w:rsidR="0092113B" w:rsidRDefault="0092113B" w:rsidP="00001C9B">
      <w:pPr>
        <w:spacing w:after="0" w:line="240" w:lineRule="auto"/>
      </w:pPr>
      <w:r>
        <w:continuationSeparator/>
      </w:r>
    </w:p>
  </w:footnote>
  <w:footnote w:type="continuationNotice" w:id="1">
    <w:p w14:paraId="4C1A22E9" w14:textId="77777777" w:rsidR="0092113B" w:rsidRDefault="009211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451B6"/>
    <w:multiLevelType w:val="hybridMultilevel"/>
    <w:tmpl w:val="D9C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1F727B"/>
    <w:multiLevelType w:val="hybridMultilevel"/>
    <w:tmpl w:val="874C0F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68F4873"/>
    <w:multiLevelType w:val="hybridMultilevel"/>
    <w:tmpl w:val="71D2FA1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3D4953"/>
    <w:multiLevelType w:val="hybridMultilevel"/>
    <w:tmpl w:val="591C1D02"/>
    <w:lvl w:ilvl="0" w:tplc="8A7C3644">
      <w:start w:val="2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3408D"/>
    <w:multiLevelType w:val="hybridMultilevel"/>
    <w:tmpl w:val="BF54A55A"/>
    <w:lvl w:ilvl="0" w:tplc="040B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3D6312"/>
    <w:multiLevelType w:val="hybridMultilevel"/>
    <w:tmpl w:val="3880E102"/>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536795"/>
    <w:multiLevelType w:val="hybridMultilevel"/>
    <w:tmpl w:val="3A4CFEF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D0FB8"/>
    <w:multiLevelType w:val="hybridMultilevel"/>
    <w:tmpl w:val="F5C63F5E"/>
    <w:lvl w:ilvl="0" w:tplc="E8F81EB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60082"/>
    <w:multiLevelType w:val="hybridMultilevel"/>
    <w:tmpl w:val="A7A60334"/>
    <w:lvl w:ilvl="0" w:tplc="1512A0B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5C9579B"/>
    <w:multiLevelType w:val="hybridMultilevel"/>
    <w:tmpl w:val="3A589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730A37"/>
    <w:multiLevelType w:val="hybridMultilevel"/>
    <w:tmpl w:val="B7247468"/>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50D64D2"/>
    <w:multiLevelType w:val="hybridMultilevel"/>
    <w:tmpl w:val="AF20F64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2530B"/>
    <w:multiLevelType w:val="hybridMultilevel"/>
    <w:tmpl w:val="E7149FC2"/>
    <w:lvl w:ilvl="0" w:tplc="0415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71259E"/>
    <w:multiLevelType w:val="hybridMultilevel"/>
    <w:tmpl w:val="06449880"/>
    <w:lvl w:ilvl="0" w:tplc="040B0011">
      <w:start w:val="1"/>
      <w:numFmt w:val="decimal"/>
      <w:lvlText w:val="%1)"/>
      <w:lvlJc w:val="left"/>
      <w:pPr>
        <w:ind w:left="936" w:hanging="360"/>
      </w:pPr>
      <w:rPr>
        <w:rFont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190966">
    <w:abstractNumId w:val="1"/>
  </w:num>
  <w:num w:numId="2" w16cid:durableId="1611744733">
    <w:abstractNumId w:val="12"/>
  </w:num>
  <w:num w:numId="3" w16cid:durableId="780219964">
    <w:abstractNumId w:val="17"/>
  </w:num>
  <w:num w:numId="4" w16cid:durableId="2098475551">
    <w:abstractNumId w:val="11"/>
  </w:num>
  <w:num w:numId="5" w16cid:durableId="635332714">
    <w:abstractNumId w:val="26"/>
  </w:num>
  <w:num w:numId="6" w16cid:durableId="1783070596">
    <w:abstractNumId w:val="15"/>
  </w:num>
  <w:num w:numId="7" w16cid:durableId="1895696516">
    <w:abstractNumId w:val="16"/>
  </w:num>
  <w:num w:numId="8" w16cid:durableId="1964537699">
    <w:abstractNumId w:val="16"/>
    <w:lvlOverride w:ilvl="0">
      <w:startOverride w:val="1"/>
    </w:lvlOverride>
  </w:num>
  <w:num w:numId="9" w16cid:durableId="2128085077">
    <w:abstractNumId w:val="16"/>
    <w:lvlOverride w:ilvl="0">
      <w:startOverride w:val="1"/>
    </w:lvlOverride>
  </w:num>
  <w:num w:numId="10" w16cid:durableId="2140537738">
    <w:abstractNumId w:val="16"/>
    <w:lvlOverride w:ilvl="0">
      <w:startOverride w:val="1"/>
    </w:lvlOverride>
  </w:num>
  <w:num w:numId="11" w16cid:durableId="1675306704">
    <w:abstractNumId w:val="15"/>
    <w:lvlOverride w:ilvl="0">
      <w:startOverride w:val="1"/>
    </w:lvlOverride>
  </w:num>
  <w:num w:numId="12" w16cid:durableId="1041902063">
    <w:abstractNumId w:val="16"/>
    <w:lvlOverride w:ilvl="0">
      <w:startOverride w:val="1"/>
    </w:lvlOverride>
  </w:num>
  <w:num w:numId="13" w16cid:durableId="1481581713">
    <w:abstractNumId w:val="15"/>
    <w:lvlOverride w:ilvl="0">
      <w:startOverride w:val="1"/>
    </w:lvlOverride>
  </w:num>
  <w:num w:numId="14" w16cid:durableId="1615399412">
    <w:abstractNumId w:val="16"/>
    <w:lvlOverride w:ilvl="0">
      <w:startOverride w:val="1"/>
    </w:lvlOverride>
  </w:num>
  <w:num w:numId="15" w16cid:durableId="1159884530">
    <w:abstractNumId w:val="29"/>
  </w:num>
  <w:num w:numId="16" w16cid:durableId="956520501">
    <w:abstractNumId w:val="10"/>
  </w:num>
  <w:num w:numId="17" w16cid:durableId="237830820">
    <w:abstractNumId w:val="24"/>
  </w:num>
  <w:num w:numId="18" w16cid:durableId="1842620197">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8869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1570461">
    <w:abstractNumId w:val="14"/>
  </w:num>
  <w:num w:numId="21" w16cid:durableId="1263411667">
    <w:abstractNumId w:val="21"/>
  </w:num>
  <w:num w:numId="22" w16cid:durableId="463233493">
    <w:abstractNumId w:val="15"/>
    <w:lvlOverride w:ilvl="0">
      <w:startOverride w:val="1"/>
    </w:lvlOverride>
  </w:num>
  <w:num w:numId="23" w16cid:durableId="291711795">
    <w:abstractNumId w:val="16"/>
    <w:lvlOverride w:ilvl="0">
      <w:startOverride w:val="1"/>
    </w:lvlOverride>
  </w:num>
  <w:num w:numId="24" w16cid:durableId="526913664">
    <w:abstractNumId w:val="5"/>
  </w:num>
  <w:num w:numId="25" w16cid:durableId="399518907">
    <w:abstractNumId w:val="0"/>
  </w:num>
  <w:num w:numId="26" w16cid:durableId="964507020">
    <w:abstractNumId w:val="0"/>
    <w:lvlOverride w:ilvl="0">
      <w:startOverride w:val="1"/>
    </w:lvlOverride>
  </w:num>
  <w:num w:numId="27" w16cid:durableId="668168927">
    <w:abstractNumId w:val="28"/>
  </w:num>
  <w:num w:numId="28" w16cid:durableId="380058603">
    <w:abstractNumId w:val="25"/>
  </w:num>
  <w:num w:numId="29" w16cid:durableId="1998606436">
    <w:abstractNumId w:val="3"/>
  </w:num>
  <w:num w:numId="30" w16cid:durableId="1650015129">
    <w:abstractNumId w:val="6"/>
  </w:num>
  <w:num w:numId="31" w16cid:durableId="130251190">
    <w:abstractNumId w:val="19"/>
  </w:num>
  <w:num w:numId="32" w16cid:durableId="1546941525">
    <w:abstractNumId w:val="2"/>
  </w:num>
  <w:num w:numId="33" w16cid:durableId="149568776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462740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6926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290517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9938423">
    <w:abstractNumId w:val="18"/>
  </w:num>
  <w:num w:numId="38" w16cid:durableId="547961988">
    <w:abstractNumId w:val="7"/>
  </w:num>
  <w:num w:numId="39" w16cid:durableId="126166383">
    <w:abstractNumId w:val="20"/>
  </w:num>
  <w:num w:numId="40" w16cid:durableId="1583757405">
    <w:abstractNumId w:val="27"/>
  </w:num>
  <w:num w:numId="41" w16cid:durableId="867916061">
    <w:abstractNumId w:val="13"/>
  </w:num>
  <w:num w:numId="42" w16cid:durableId="9455741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B6B90"/>
    <w:rsid w:val="00001C9B"/>
    <w:rsid w:val="000040DC"/>
    <w:rsid w:val="0001207C"/>
    <w:rsid w:val="000151EF"/>
    <w:rsid w:val="0001605D"/>
    <w:rsid w:val="000239F5"/>
    <w:rsid w:val="0005354F"/>
    <w:rsid w:val="0005472D"/>
    <w:rsid w:val="00067AE5"/>
    <w:rsid w:val="00072A13"/>
    <w:rsid w:val="0008612A"/>
    <w:rsid w:val="00090E18"/>
    <w:rsid w:val="000926C9"/>
    <w:rsid w:val="000A10BC"/>
    <w:rsid w:val="000B0056"/>
    <w:rsid w:val="000C393D"/>
    <w:rsid w:val="000C3C7B"/>
    <w:rsid w:val="000D0F93"/>
    <w:rsid w:val="000F1F14"/>
    <w:rsid w:val="001034AC"/>
    <w:rsid w:val="00106416"/>
    <w:rsid w:val="00110481"/>
    <w:rsid w:val="001127C9"/>
    <w:rsid w:val="001152C7"/>
    <w:rsid w:val="00115B88"/>
    <w:rsid w:val="00116AE9"/>
    <w:rsid w:val="001200DD"/>
    <w:rsid w:val="0012283A"/>
    <w:rsid w:val="00132F6A"/>
    <w:rsid w:val="00133913"/>
    <w:rsid w:val="00140221"/>
    <w:rsid w:val="001406D8"/>
    <w:rsid w:val="00141FD6"/>
    <w:rsid w:val="001642FC"/>
    <w:rsid w:val="0016434F"/>
    <w:rsid w:val="0016496B"/>
    <w:rsid w:val="00164F9B"/>
    <w:rsid w:val="001743E2"/>
    <w:rsid w:val="001745F8"/>
    <w:rsid w:val="001838CF"/>
    <w:rsid w:val="001868EE"/>
    <w:rsid w:val="001A32BE"/>
    <w:rsid w:val="001A3BA4"/>
    <w:rsid w:val="001A5CAE"/>
    <w:rsid w:val="001A6D1F"/>
    <w:rsid w:val="001D303E"/>
    <w:rsid w:val="001E14ED"/>
    <w:rsid w:val="001E30F6"/>
    <w:rsid w:val="001E49D4"/>
    <w:rsid w:val="001E7A7B"/>
    <w:rsid w:val="001F55B3"/>
    <w:rsid w:val="002018DB"/>
    <w:rsid w:val="00213490"/>
    <w:rsid w:val="00217EE5"/>
    <w:rsid w:val="00235077"/>
    <w:rsid w:val="00235D85"/>
    <w:rsid w:val="00235F5C"/>
    <w:rsid w:val="0024142C"/>
    <w:rsid w:val="00252635"/>
    <w:rsid w:val="00257FA3"/>
    <w:rsid w:val="0026147C"/>
    <w:rsid w:val="00271AEE"/>
    <w:rsid w:val="00274F57"/>
    <w:rsid w:val="00277B56"/>
    <w:rsid w:val="002842C4"/>
    <w:rsid w:val="002A19F5"/>
    <w:rsid w:val="002B0B62"/>
    <w:rsid w:val="002B3012"/>
    <w:rsid w:val="002B4922"/>
    <w:rsid w:val="002B5451"/>
    <w:rsid w:val="002C22C3"/>
    <w:rsid w:val="002C2D19"/>
    <w:rsid w:val="002D10FA"/>
    <w:rsid w:val="002D4C55"/>
    <w:rsid w:val="002E6DED"/>
    <w:rsid w:val="002F5268"/>
    <w:rsid w:val="00300956"/>
    <w:rsid w:val="003104F0"/>
    <w:rsid w:val="00317187"/>
    <w:rsid w:val="00322847"/>
    <w:rsid w:val="0032295B"/>
    <w:rsid w:val="0032499A"/>
    <w:rsid w:val="003341F7"/>
    <w:rsid w:val="00336A60"/>
    <w:rsid w:val="00346075"/>
    <w:rsid w:val="00347FEC"/>
    <w:rsid w:val="00356F45"/>
    <w:rsid w:val="00366B74"/>
    <w:rsid w:val="00374A6F"/>
    <w:rsid w:val="00380C6B"/>
    <w:rsid w:val="003878B1"/>
    <w:rsid w:val="003931CD"/>
    <w:rsid w:val="003945F6"/>
    <w:rsid w:val="003A710A"/>
    <w:rsid w:val="003B659E"/>
    <w:rsid w:val="003C275E"/>
    <w:rsid w:val="003E0465"/>
    <w:rsid w:val="003E2750"/>
    <w:rsid w:val="003E3EEF"/>
    <w:rsid w:val="003E58DF"/>
    <w:rsid w:val="003F3FA7"/>
    <w:rsid w:val="00404C4C"/>
    <w:rsid w:val="0041423F"/>
    <w:rsid w:val="004148B6"/>
    <w:rsid w:val="00414F81"/>
    <w:rsid w:val="00427298"/>
    <w:rsid w:val="00427461"/>
    <w:rsid w:val="0043060A"/>
    <w:rsid w:val="00436A0F"/>
    <w:rsid w:val="00437150"/>
    <w:rsid w:val="0043750A"/>
    <w:rsid w:val="0044434E"/>
    <w:rsid w:val="00460749"/>
    <w:rsid w:val="00461683"/>
    <w:rsid w:val="004732E9"/>
    <w:rsid w:val="004854BB"/>
    <w:rsid w:val="00496606"/>
    <w:rsid w:val="004E4316"/>
    <w:rsid w:val="004E5E66"/>
    <w:rsid w:val="004E7ADB"/>
    <w:rsid w:val="00501588"/>
    <w:rsid w:val="00503B4D"/>
    <w:rsid w:val="00504EE9"/>
    <w:rsid w:val="00521576"/>
    <w:rsid w:val="00524D79"/>
    <w:rsid w:val="005250E6"/>
    <w:rsid w:val="00542D23"/>
    <w:rsid w:val="005434F1"/>
    <w:rsid w:val="0054442C"/>
    <w:rsid w:val="005465EA"/>
    <w:rsid w:val="00550285"/>
    <w:rsid w:val="005559C6"/>
    <w:rsid w:val="00562492"/>
    <w:rsid w:val="0056249B"/>
    <w:rsid w:val="00572A20"/>
    <w:rsid w:val="00577343"/>
    <w:rsid w:val="005836F8"/>
    <w:rsid w:val="005918FA"/>
    <w:rsid w:val="0059297A"/>
    <w:rsid w:val="00592A86"/>
    <w:rsid w:val="005B4801"/>
    <w:rsid w:val="005C23A4"/>
    <w:rsid w:val="005C729C"/>
    <w:rsid w:val="005D1CDF"/>
    <w:rsid w:val="005D2BB7"/>
    <w:rsid w:val="005D2C63"/>
    <w:rsid w:val="005E61A8"/>
    <w:rsid w:val="005F6419"/>
    <w:rsid w:val="00601B56"/>
    <w:rsid w:val="00605384"/>
    <w:rsid w:val="0060543D"/>
    <w:rsid w:val="006104DD"/>
    <w:rsid w:val="006130B5"/>
    <w:rsid w:val="00617400"/>
    <w:rsid w:val="00617A78"/>
    <w:rsid w:val="00632D29"/>
    <w:rsid w:val="00656F70"/>
    <w:rsid w:val="00664950"/>
    <w:rsid w:val="00683220"/>
    <w:rsid w:val="00687FA0"/>
    <w:rsid w:val="00692440"/>
    <w:rsid w:val="00697F0C"/>
    <w:rsid w:val="006A3C11"/>
    <w:rsid w:val="006B7010"/>
    <w:rsid w:val="006C3095"/>
    <w:rsid w:val="006D38E5"/>
    <w:rsid w:val="006E1151"/>
    <w:rsid w:val="006E6311"/>
    <w:rsid w:val="006F3D44"/>
    <w:rsid w:val="00704E92"/>
    <w:rsid w:val="007145FF"/>
    <w:rsid w:val="00715B2A"/>
    <w:rsid w:val="007319A1"/>
    <w:rsid w:val="007450F1"/>
    <w:rsid w:val="00751515"/>
    <w:rsid w:val="00757C48"/>
    <w:rsid w:val="00761CC5"/>
    <w:rsid w:val="007626B7"/>
    <w:rsid w:val="0078212B"/>
    <w:rsid w:val="00784DF6"/>
    <w:rsid w:val="00785232"/>
    <w:rsid w:val="0079039F"/>
    <w:rsid w:val="007A1FB3"/>
    <w:rsid w:val="007B186C"/>
    <w:rsid w:val="007C078A"/>
    <w:rsid w:val="007C1696"/>
    <w:rsid w:val="007C3ED0"/>
    <w:rsid w:val="007C5971"/>
    <w:rsid w:val="007E6D55"/>
    <w:rsid w:val="007F01B0"/>
    <w:rsid w:val="007F54B9"/>
    <w:rsid w:val="00806A76"/>
    <w:rsid w:val="00811C9D"/>
    <w:rsid w:val="008135AF"/>
    <w:rsid w:val="00816C80"/>
    <w:rsid w:val="00841BCD"/>
    <w:rsid w:val="00843ABA"/>
    <w:rsid w:val="00845E2E"/>
    <w:rsid w:val="00851A8E"/>
    <w:rsid w:val="0085365B"/>
    <w:rsid w:val="00865542"/>
    <w:rsid w:val="00876031"/>
    <w:rsid w:val="008826C1"/>
    <w:rsid w:val="0088347F"/>
    <w:rsid w:val="00883DFD"/>
    <w:rsid w:val="0088783E"/>
    <w:rsid w:val="008A1BF7"/>
    <w:rsid w:val="008A5B0E"/>
    <w:rsid w:val="008B0961"/>
    <w:rsid w:val="008B1BE7"/>
    <w:rsid w:val="008B4211"/>
    <w:rsid w:val="008D023A"/>
    <w:rsid w:val="008D468E"/>
    <w:rsid w:val="008E25E9"/>
    <w:rsid w:val="0090091A"/>
    <w:rsid w:val="009042BD"/>
    <w:rsid w:val="009133F5"/>
    <w:rsid w:val="0092113B"/>
    <w:rsid w:val="00930131"/>
    <w:rsid w:val="00936159"/>
    <w:rsid w:val="0094079E"/>
    <w:rsid w:val="0094181C"/>
    <w:rsid w:val="0094187C"/>
    <w:rsid w:val="00944AA2"/>
    <w:rsid w:val="00947094"/>
    <w:rsid w:val="00950665"/>
    <w:rsid w:val="0095434C"/>
    <w:rsid w:val="00960957"/>
    <w:rsid w:val="00961EC2"/>
    <w:rsid w:val="00977E1D"/>
    <w:rsid w:val="009842C6"/>
    <w:rsid w:val="0099031B"/>
    <w:rsid w:val="00993FE0"/>
    <w:rsid w:val="009B0573"/>
    <w:rsid w:val="009B4C54"/>
    <w:rsid w:val="009B7B4B"/>
    <w:rsid w:val="009B7C21"/>
    <w:rsid w:val="009C100C"/>
    <w:rsid w:val="009C331C"/>
    <w:rsid w:val="009C409C"/>
    <w:rsid w:val="00A011A9"/>
    <w:rsid w:val="00A04992"/>
    <w:rsid w:val="00A050A9"/>
    <w:rsid w:val="00A147AA"/>
    <w:rsid w:val="00A152F5"/>
    <w:rsid w:val="00A21D71"/>
    <w:rsid w:val="00A22B78"/>
    <w:rsid w:val="00A25AE5"/>
    <w:rsid w:val="00A37002"/>
    <w:rsid w:val="00A37951"/>
    <w:rsid w:val="00A4355E"/>
    <w:rsid w:val="00A54C39"/>
    <w:rsid w:val="00A604F0"/>
    <w:rsid w:val="00A61623"/>
    <w:rsid w:val="00A65C00"/>
    <w:rsid w:val="00A746E6"/>
    <w:rsid w:val="00A74A8E"/>
    <w:rsid w:val="00A871C5"/>
    <w:rsid w:val="00A92BCD"/>
    <w:rsid w:val="00A935BB"/>
    <w:rsid w:val="00A96A25"/>
    <w:rsid w:val="00AA1B0E"/>
    <w:rsid w:val="00AA47B6"/>
    <w:rsid w:val="00AB3A39"/>
    <w:rsid w:val="00AC163B"/>
    <w:rsid w:val="00AC487D"/>
    <w:rsid w:val="00AC5CA7"/>
    <w:rsid w:val="00AC6058"/>
    <w:rsid w:val="00AE2BA5"/>
    <w:rsid w:val="00AE56B1"/>
    <w:rsid w:val="00AE6D09"/>
    <w:rsid w:val="00AF7A7C"/>
    <w:rsid w:val="00B10EC6"/>
    <w:rsid w:val="00B11115"/>
    <w:rsid w:val="00B37B94"/>
    <w:rsid w:val="00B408B6"/>
    <w:rsid w:val="00B41742"/>
    <w:rsid w:val="00B542DA"/>
    <w:rsid w:val="00B63114"/>
    <w:rsid w:val="00B736E0"/>
    <w:rsid w:val="00B73862"/>
    <w:rsid w:val="00B73F43"/>
    <w:rsid w:val="00B951C8"/>
    <w:rsid w:val="00BA6B66"/>
    <w:rsid w:val="00BA6E48"/>
    <w:rsid w:val="00BB3F9C"/>
    <w:rsid w:val="00BB6B90"/>
    <w:rsid w:val="00BC109F"/>
    <w:rsid w:val="00BD051D"/>
    <w:rsid w:val="00BD1552"/>
    <w:rsid w:val="00BD362D"/>
    <w:rsid w:val="00BD3651"/>
    <w:rsid w:val="00BE0AF6"/>
    <w:rsid w:val="00BE14E7"/>
    <w:rsid w:val="00BE1F03"/>
    <w:rsid w:val="00BE58A7"/>
    <w:rsid w:val="00BF2218"/>
    <w:rsid w:val="00BF6574"/>
    <w:rsid w:val="00C0426B"/>
    <w:rsid w:val="00C045DF"/>
    <w:rsid w:val="00C068C2"/>
    <w:rsid w:val="00C169B8"/>
    <w:rsid w:val="00C22CD4"/>
    <w:rsid w:val="00C26D43"/>
    <w:rsid w:val="00C40971"/>
    <w:rsid w:val="00C46548"/>
    <w:rsid w:val="00C5392A"/>
    <w:rsid w:val="00C574D5"/>
    <w:rsid w:val="00C658FE"/>
    <w:rsid w:val="00C73F32"/>
    <w:rsid w:val="00C81A51"/>
    <w:rsid w:val="00C87462"/>
    <w:rsid w:val="00C92E07"/>
    <w:rsid w:val="00CA0728"/>
    <w:rsid w:val="00CA180C"/>
    <w:rsid w:val="00CB22B2"/>
    <w:rsid w:val="00CB5FF7"/>
    <w:rsid w:val="00CC3EE2"/>
    <w:rsid w:val="00CD1837"/>
    <w:rsid w:val="00CD7492"/>
    <w:rsid w:val="00CE1376"/>
    <w:rsid w:val="00CE3A6B"/>
    <w:rsid w:val="00D00211"/>
    <w:rsid w:val="00D01199"/>
    <w:rsid w:val="00D026E9"/>
    <w:rsid w:val="00D06309"/>
    <w:rsid w:val="00D07A39"/>
    <w:rsid w:val="00D138ED"/>
    <w:rsid w:val="00D14FB4"/>
    <w:rsid w:val="00D16EDB"/>
    <w:rsid w:val="00D351EA"/>
    <w:rsid w:val="00D4021E"/>
    <w:rsid w:val="00D40288"/>
    <w:rsid w:val="00D41778"/>
    <w:rsid w:val="00D43403"/>
    <w:rsid w:val="00D44D95"/>
    <w:rsid w:val="00D45484"/>
    <w:rsid w:val="00D4753D"/>
    <w:rsid w:val="00D5270B"/>
    <w:rsid w:val="00D62E71"/>
    <w:rsid w:val="00D6430D"/>
    <w:rsid w:val="00D66188"/>
    <w:rsid w:val="00D731F6"/>
    <w:rsid w:val="00D74057"/>
    <w:rsid w:val="00D740CA"/>
    <w:rsid w:val="00D8535B"/>
    <w:rsid w:val="00D85728"/>
    <w:rsid w:val="00D87F9F"/>
    <w:rsid w:val="00D95481"/>
    <w:rsid w:val="00DA44CE"/>
    <w:rsid w:val="00DB7601"/>
    <w:rsid w:val="00DC7A13"/>
    <w:rsid w:val="00DE4B32"/>
    <w:rsid w:val="00DF2997"/>
    <w:rsid w:val="00DF3071"/>
    <w:rsid w:val="00E10BC4"/>
    <w:rsid w:val="00E1299A"/>
    <w:rsid w:val="00E1415D"/>
    <w:rsid w:val="00E16237"/>
    <w:rsid w:val="00E21F37"/>
    <w:rsid w:val="00E31CCA"/>
    <w:rsid w:val="00E323E9"/>
    <w:rsid w:val="00E34018"/>
    <w:rsid w:val="00E437D2"/>
    <w:rsid w:val="00E55751"/>
    <w:rsid w:val="00E85A89"/>
    <w:rsid w:val="00EA2311"/>
    <w:rsid w:val="00EB0619"/>
    <w:rsid w:val="00EC7BC3"/>
    <w:rsid w:val="00ED14B2"/>
    <w:rsid w:val="00ED7600"/>
    <w:rsid w:val="00EF37C5"/>
    <w:rsid w:val="00EF6073"/>
    <w:rsid w:val="00EF698B"/>
    <w:rsid w:val="00F11987"/>
    <w:rsid w:val="00F12AFF"/>
    <w:rsid w:val="00F1362C"/>
    <w:rsid w:val="00F27608"/>
    <w:rsid w:val="00F329B0"/>
    <w:rsid w:val="00F333F8"/>
    <w:rsid w:val="00F36BAA"/>
    <w:rsid w:val="00F414F1"/>
    <w:rsid w:val="00F432BE"/>
    <w:rsid w:val="00F464BA"/>
    <w:rsid w:val="00F508B8"/>
    <w:rsid w:val="00F52037"/>
    <w:rsid w:val="00F72CB1"/>
    <w:rsid w:val="00F7590E"/>
    <w:rsid w:val="00F8215E"/>
    <w:rsid w:val="00F824F5"/>
    <w:rsid w:val="00F84DA3"/>
    <w:rsid w:val="00F9374D"/>
    <w:rsid w:val="00F9665D"/>
    <w:rsid w:val="00F96CEC"/>
    <w:rsid w:val="00FA3613"/>
    <w:rsid w:val="00FC29B9"/>
    <w:rsid w:val="00FC6E31"/>
    <w:rsid w:val="00FC6FD3"/>
    <w:rsid w:val="00FE2A4D"/>
    <w:rsid w:val="00FE305C"/>
    <w:rsid w:val="00FE361C"/>
    <w:rsid w:val="00FF0301"/>
    <w:rsid w:val="00FF695A"/>
    <w:rsid w:val="051DCB1C"/>
    <w:rsid w:val="08A8A916"/>
    <w:rsid w:val="16F05619"/>
    <w:rsid w:val="22272526"/>
    <w:rsid w:val="22F82EE3"/>
    <w:rsid w:val="2369E3A2"/>
    <w:rsid w:val="286ABF17"/>
    <w:rsid w:val="290A2F4C"/>
    <w:rsid w:val="29EC2AA3"/>
    <w:rsid w:val="2D0E9AD9"/>
    <w:rsid w:val="2D17E4EF"/>
    <w:rsid w:val="321D72FB"/>
    <w:rsid w:val="350D81AA"/>
    <w:rsid w:val="3AF78D34"/>
    <w:rsid w:val="3EEEBBE5"/>
    <w:rsid w:val="541D83F1"/>
    <w:rsid w:val="54DF33E9"/>
    <w:rsid w:val="6095AC75"/>
    <w:rsid w:val="6816EC78"/>
    <w:rsid w:val="73DA3A7B"/>
    <w:rsid w:val="74B7F34C"/>
    <w:rsid w:val="7F0CAF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F6DDC"/>
  <w15:chartTrackingRefBased/>
  <w15:docId w15:val="{1AADA4AB-E699-4783-9D35-DC0AD774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maintextChar">
    <w:name w:val="main text Char"/>
    <w:link w:val="maintext"/>
    <w:qFormat/>
    <w:locked/>
    <w:rsid w:val="00CB5FF7"/>
    <w:rPr>
      <w:rFonts w:eastAsia="Malgun Gothic" w:cs="Batang"/>
      <w:lang w:eastAsia="ko-KR"/>
    </w:rPr>
  </w:style>
  <w:style w:type="paragraph" w:customStyle="1" w:styleId="maintext">
    <w:name w:val="main text"/>
    <w:basedOn w:val="Normal"/>
    <w:link w:val="maintextChar"/>
    <w:qFormat/>
    <w:rsid w:val="00CB5FF7"/>
    <w:pPr>
      <w:spacing w:before="60" w:after="60" w:line="288" w:lineRule="auto"/>
      <w:ind w:firstLineChars="200" w:firstLine="200"/>
      <w:jc w:val="both"/>
    </w:pPr>
    <w:rPr>
      <w:rFonts w:asciiTheme="minorHAnsi" w:eastAsia="Malgun Gothic" w:hAnsiTheme="minorHAnsi" w:cs="Batang"/>
      <w:sz w:val="22"/>
      <w:lang w:eastAsia="ko-KR"/>
    </w:rPr>
  </w:style>
  <w:style w:type="paragraph" w:styleId="Header">
    <w:name w:val="header"/>
    <w:basedOn w:val="Normal"/>
    <w:link w:val="HeaderChar"/>
    <w:uiPriority w:val="99"/>
    <w:semiHidden/>
    <w:unhideWhenUsed/>
    <w:rsid w:val="00C169B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169B8"/>
    <w:rPr>
      <w:rFonts w:ascii="Times New Roman" w:hAnsi="Times New Roman"/>
      <w:sz w:val="20"/>
    </w:rPr>
  </w:style>
  <w:style w:type="paragraph" w:styleId="Footer">
    <w:name w:val="footer"/>
    <w:basedOn w:val="Normal"/>
    <w:link w:val="FooterChar"/>
    <w:uiPriority w:val="99"/>
    <w:semiHidden/>
    <w:unhideWhenUsed/>
    <w:rsid w:val="00C169B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169B8"/>
    <w:rPr>
      <w:rFonts w:ascii="Times New Roman" w:hAnsi="Times New Roman"/>
      <w:sz w:val="20"/>
    </w:rPr>
  </w:style>
  <w:style w:type="paragraph" w:styleId="Revision">
    <w:name w:val="Revision"/>
    <w:hidden/>
    <w:uiPriority w:val="99"/>
    <w:semiHidden/>
    <w:rsid w:val="0016434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56241">
      <w:bodyDiv w:val="1"/>
      <w:marLeft w:val="0"/>
      <w:marRight w:val="0"/>
      <w:marTop w:val="0"/>
      <w:marBottom w:val="0"/>
      <w:divBdr>
        <w:top w:val="none" w:sz="0" w:space="0" w:color="auto"/>
        <w:left w:val="none" w:sz="0" w:space="0" w:color="auto"/>
        <w:bottom w:val="none" w:sz="0" w:space="0" w:color="auto"/>
        <w:right w:val="none" w:sz="0" w:space="0" w:color="auto"/>
      </w:divBdr>
    </w:div>
    <w:div w:id="866649120">
      <w:bodyDiv w:val="1"/>
      <w:marLeft w:val="0"/>
      <w:marRight w:val="0"/>
      <w:marTop w:val="0"/>
      <w:marBottom w:val="0"/>
      <w:divBdr>
        <w:top w:val="none" w:sz="0" w:space="0" w:color="auto"/>
        <w:left w:val="none" w:sz="0" w:space="0" w:color="auto"/>
        <w:bottom w:val="none" w:sz="0" w:space="0" w:color="auto"/>
        <w:right w:val="none" w:sz="0" w:space="0" w:color="auto"/>
      </w:divBdr>
    </w:div>
    <w:div w:id="103901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keskita\Download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https://nokia.sharepoint.com/sites/c5g/5gradio/_layouts/15/DocIdRedir.aspx?ID=5AIRPNAIUNRU-1328258698-21247</Url>
      <Description>5AIRPNAIUNRU-1328258698-21247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TotalTime>
  <Pages>1</Pages>
  <Words>1377</Words>
  <Characters>7851</Characters>
  <Application>Microsoft Office Word</Application>
  <DocSecurity>0</DocSecurity>
  <Lines>65</Lines>
  <Paragraphs>18</Paragraphs>
  <ScaleCrop>false</ScaleCrop>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Ilkka Keskitalo (Nokia)</dc:creator>
  <cp:keywords>3GPP;RAN4</cp:keywords>
  <dc:description/>
  <cp:lastModifiedBy>Nokia - Bartlomiej Golebiowski</cp:lastModifiedBy>
  <cp:revision>129</cp:revision>
  <dcterms:created xsi:type="dcterms:W3CDTF">2023-04-03T18:58:00Z</dcterms:created>
  <dcterms:modified xsi:type="dcterms:W3CDTF">2023-04-09T16:49:00Z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bd10f2c3-fad1-416f-a503-1e9a714a3f5d</vt:lpwstr>
  </property>
  <property fmtid="{D5CDD505-2E9C-101B-9397-08002B2CF9AE}" pid="11" name="MediaServiceImageTags">
    <vt:lpwstr/>
  </property>
</Properties>
</file>